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6DDD" w14:textId="77777777" w:rsidR="00BF178A" w:rsidRPr="00BF178A" w:rsidRDefault="00BF178A" w:rsidP="00BF178A">
      <w:pPr>
        <w:autoSpaceDE w:val="0"/>
        <w:autoSpaceDN w:val="0"/>
        <w:adjustRightInd w:val="0"/>
        <w:jc w:val="center"/>
        <w:rPr>
          <w:rFonts w:ascii="Arial" w:eastAsia="Times New Roman" w:hAnsi="Arial" w:cs="Arial"/>
          <w:b/>
          <w:lang w:val="en-GB"/>
        </w:rPr>
      </w:pPr>
      <w:r w:rsidRPr="00BF178A">
        <w:rPr>
          <w:rFonts w:ascii="Arial" w:hAnsi="Arial" w:cs="Arial"/>
          <w:b/>
          <w:lang w:val="en-GB"/>
        </w:rPr>
        <w:t>RESULTS OF A</w:t>
      </w:r>
      <w:r w:rsidRPr="00BF178A">
        <w:rPr>
          <w:rFonts w:ascii="Arial" w:hAnsi="Arial" w:cs="Arial"/>
          <w:b/>
          <w:lang w:val="en-US"/>
        </w:rPr>
        <w:t xml:space="preserve"> PLANT ASSEMBLAGE SURVEY</w:t>
      </w:r>
    </w:p>
    <w:p w14:paraId="6D8B249B" w14:textId="4773D739" w:rsidR="00BF178A" w:rsidRPr="00BF178A" w:rsidRDefault="00BF178A" w:rsidP="00BF178A">
      <w:pPr>
        <w:autoSpaceDE w:val="0"/>
        <w:autoSpaceDN w:val="0"/>
        <w:adjustRightInd w:val="0"/>
        <w:jc w:val="center"/>
        <w:rPr>
          <w:rFonts w:ascii="Arial" w:hAnsi="Arial" w:cs="Arial"/>
          <w:lang w:val="en-US"/>
        </w:rPr>
      </w:pPr>
      <w:r w:rsidRPr="00BF178A">
        <w:rPr>
          <w:rFonts w:ascii="Arial" w:eastAsia="Times New Roman" w:hAnsi="Arial" w:cs="Arial"/>
          <w:lang w:val="en-GB"/>
        </w:rPr>
        <w:t xml:space="preserve">(from supplementary material of Vanbergen </w:t>
      </w:r>
      <w:r w:rsidRPr="00BF178A">
        <w:rPr>
          <w:rFonts w:ascii="Arial" w:eastAsia="Times New Roman" w:hAnsi="Arial" w:cs="Arial"/>
          <w:i/>
          <w:lang w:val="en-GB"/>
        </w:rPr>
        <w:t>et al</w:t>
      </w:r>
      <w:r w:rsidRPr="00BF178A">
        <w:rPr>
          <w:rFonts w:ascii="Arial" w:eastAsia="Times New Roman" w:hAnsi="Arial" w:cs="Arial"/>
          <w:lang w:val="en-GB"/>
        </w:rPr>
        <w:t xml:space="preserve"> (2014) </w:t>
      </w:r>
      <w:r w:rsidRPr="00BF178A">
        <w:rPr>
          <w:rFonts w:ascii="Arial" w:eastAsia="Times New Roman" w:hAnsi="Arial" w:cs="Arial"/>
          <w:i/>
          <w:lang w:val="en-GB"/>
        </w:rPr>
        <w:t>Functional Ecology</w:t>
      </w:r>
      <w:r w:rsidRPr="00BF178A">
        <w:rPr>
          <w:rFonts w:ascii="Arial" w:eastAsia="Times New Roman" w:hAnsi="Arial" w:cs="Arial"/>
          <w:lang w:val="en-GB"/>
        </w:rPr>
        <w:t xml:space="preserve"> </w:t>
      </w:r>
      <w:r w:rsidRPr="00BF178A">
        <w:rPr>
          <w:rFonts w:ascii="Arial" w:eastAsia="Times New Roman" w:hAnsi="Arial" w:cs="Arial"/>
          <w:b/>
          <w:lang w:val="en-GB"/>
        </w:rPr>
        <w:t>28</w:t>
      </w:r>
      <w:r w:rsidRPr="00BF178A">
        <w:rPr>
          <w:rFonts w:ascii="Arial" w:eastAsia="Times New Roman" w:hAnsi="Arial" w:cs="Arial"/>
          <w:lang w:val="en-GB"/>
        </w:rPr>
        <w:t>: 178-189)</w:t>
      </w:r>
    </w:p>
    <w:p w14:paraId="0E0834E4" w14:textId="77777777" w:rsidR="00BF178A" w:rsidRPr="00BF178A" w:rsidRDefault="00BF178A" w:rsidP="00BF178A">
      <w:pPr>
        <w:rPr>
          <w:rFonts w:ascii="Arial" w:hAnsi="Arial" w:cs="Arial"/>
          <w:lang w:val="en-GB"/>
        </w:rPr>
      </w:pPr>
    </w:p>
    <w:p w14:paraId="6BE1B590" w14:textId="77777777" w:rsidR="00BF178A" w:rsidRPr="00BF178A" w:rsidRDefault="00BF178A" w:rsidP="00BF178A">
      <w:pPr>
        <w:autoSpaceDE w:val="0"/>
        <w:autoSpaceDN w:val="0"/>
        <w:adjustRightInd w:val="0"/>
        <w:jc w:val="both"/>
        <w:rPr>
          <w:rFonts w:ascii="Arial" w:hAnsi="Arial" w:cs="Arial"/>
          <w:color w:val="231F20"/>
          <w:lang w:val="en-US"/>
        </w:rPr>
      </w:pPr>
      <w:r w:rsidRPr="00BF178A">
        <w:rPr>
          <w:rFonts w:ascii="Arial" w:hAnsi="Arial" w:cs="Arial"/>
          <w:lang w:val="en-US"/>
        </w:rPr>
        <w:t xml:space="preserve">In each site, herbaceous </w:t>
      </w:r>
      <w:proofErr w:type="spellStart"/>
      <w:r w:rsidRPr="00BF178A">
        <w:rPr>
          <w:rFonts w:ascii="Arial" w:hAnsi="Arial" w:cs="Arial"/>
          <w:lang w:val="en-US"/>
        </w:rPr>
        <w:t>understorey</w:t>
      </w:r>
      <w:proofErr w:type="spellEnd"/>
      <w:r w:rsidRPr="00BF178A">
        <w:rPr>
          <w:rFonts w:ascii="Arial" w:hAnsi="Arial" w:cs="Arial"/>
          <w:lang w:val="en-US"/>
        </w:rPr>
        <w:t xml:space="preserve"> plant (vascular, bryophytes and macro-lichens) community composition and structure was measured in a series of six quadrats (1m</w:t>
      </w:r>
      <w:r w:rsidRPr="00BF178A">
        <w:rPr>
          <w:rFonts w:ascii="Arial" w:hAnsi="Arial" w:cs="Arial"/>
          <w:vertAlign w:val="superscript"/>
          <w:lang w:val="en-US"/>
        </w:rPr>
        <w:t>2</w:t>
      </w:r>
      <w:r w:rsidRPr="00BF178A">
        <w:rPr>
          <w:rFonts w:ascii="Arial" w:hAnsi="Arial" w:cs="Arial"/>
          <w:lang w:val="en-US"/>
        </w:rPr>
        <w:t>) randomly situated on the nodes of a 4 x 4 grid (15m</w:t>
      </w:r>
      <w:r w:rsidRPr="00BF178A">
        <w:rPr>
          <w:rFonts w:ascii="Arial" w:hAnsi="Arial" w:cs="Arial"/>
          <w:vertAlign w:val="superscript"/>
          <w:lang w:val="en-US"/>
        </w:rPr>
        <w:t>2</w:t>
      </w:r>
      <w:r w:rsidRPr="00BF178A">
        <w:rPr>
          <w:rFonts w:ascii="Arial" w:hAnsi="Arial" w:cs="Arial"/>
          <w:lang w:val="en-US"/>
        </w:rPr>
        <w:t xml:space="preserve">) situated at least 50m from the woodland edge. This sampling was carried out during July 2007 and 2008. The identity and visually estimated percentage cover of each species was determined enabling the plant species richness and percentage cover of broad plant groups (dicotyledonous herbs, graminoids, pteridophytes, and bryophytes) to be derived. The percentage cover of plant litter and bare, trampled earth was also visually estimated for each quadrat. Herbaceous </w:t>
      </w:r>
      <w:proofErr w:type="spellStart"/>
      <w:r w:rsidRPr="00BF178A">
        <w:rPr>
          <w:rFonts w:ascii="Arial" w:hAnsi="Arial" w:cs="Arial"/>
          <w:lang w:val="en-US"/>
        </w:rPr>
        <w:t>understorey</w:t>
      </w:r>
      <w:proofErr w:type="spellEnd"/>
      <w:r w:rsidRPr="00BF178A">
        <w:rPr>
          <w:rFonts w:ascii="Arial" w:hAnsi="Arial" w:cs="Arial"/>
          <w:lang w:val="en-US"/>
        </w:rPr>
        <w:t xml:space="preserve"> sward height (cm) was measured at the corners of each quadrat (24 measurements per site). Tree density and the trunk diameter at breast height (DBH) were recorded in a 25m</w:t>
      </w:r>
      <w:r w:rsidRPr="00BF178A">
        <w:rPr>
          <w:rFonts w:ascii="Arial" w:hAnsi="Arial" w:cs="Arial"/>
          <w:vertAlign w:val="superscript"/>
          <w:lang w:val="en-US"/>
        </w:rPr>
        <w:t>2</w:t>
      </w:r>
      <w:r w:rsidRPr="00BF178A">
        <w:rPr>
          <w:rFonts w:ascii="Arial" w:hAnsi="Arial" w:cs="Arial"/>
          <w:lang w:val="en-US"/>
        </w:rPr>
        <w:t xml:space="preserve"> plot </w:t>
      </w:r>
      <w:proofErr w:type="spellStart"/>
      <w:r w:rsidRPr="00BF178A">
        <w:rPr>
          <w:rFonts w:ascii="Arial" w:hAnsi="Arial" w:cs="Arial"/>
          <w:lang w:val="en-US"/>
        </w:rPr>
        <w:t>centred</w:t>
      </w:r>
      <w:proofErr w:type="spellEnd"/>
      <w:r w:rsidRPr="00BF178A">
        <w:rPr>
          <w:rFonts w:ascii="Arial" w:hAnsi="Arial" w:cs="Arial"/>
          <w:lang w:val="en-US"/>
        </w:rPr>
        <w:t xml:space="preserve"> on the sampling grid.</w:t>
      </w:r>
      <w:r w:rsidRPr="00BF178A">
        <w:rPr>
          <w:rFonts w:ascii="Arial" w:hAnsi="Arial" w:cs="Arial"/>
          <w:color w:val="231F20"/>
          <w:lang w:val="en-US"/>
        </w:rPr>
        <w:t xml:space="preserve"> Soil samples (6 bulked cores per woodland) were </w:t>
      </w:r>
      <w:proofErr w:type="spellStart"/>
      <w:r w:rsidRPr="00BF178A">
        <w:rPr>
          <w:rFonts w:ascii="Arial" w:hAnsi="Arial" w:cs="Arial"/>
          <w:color w:val="231F20"/>
          <w:lang w:val="en-US"/>
        </w:rPr>
        <w:t>analysed</w:t>
      </w:r>
      <w:proofErr w:type="spellEnd"/>
      <w:r w:rsidRPr="00BF178A">
        <w:rPr>
          <w:rFonts w:ascii="Arial" w:hAnsi="Arial" w:cs="Arial"/>
          <w:color w:val="231F20"/>
          <w:lang w:val="en-US"/>
        </w:rPr>
        <w:t xml:space="preserve"> for pH; phosphate (colorimetric PO4-P Olsen mg</w:t>
      </w:r>
      <w:r w:rsidRPr="00BF178A">
        <w:rPr>
          <w:rFonts w:ascii="Arial" w:hAnsi="Arial" w:cs="Arial"/>
          <w:color w:val="231F20"/>
          <w:vertAlign w:val="superscript"/>
          <w:lang w:val="en-US"/>
        </w:rPr>
        <w:t>-1</w:t>
      </w:r>
      <w:r w:rsidRPr="00BF178A">
        <w:rPr>
          <w:rFonts w:ascii="Arial" w:hAnsi="Arial" w:cs="Arial"/>
          <w:color w:val="231F20"/>
          <w:lang w:val="en-US"/>
        </w:rPr>
        <w:t xml:space="preserve"> kg</w:t>
      </w:r>
      <w:r w:rsidRPr="00BF178A">
        <w:rPr>
          <w:rFonts w:ascii="Arial" w:hAnsi="Arial" w:cs="Arial"/>
          <w:color w:val="231F20"/>
          <w:vertAlign w:val="superscript"/>
          <w:lang w:val="en-US"/>
        </w:rPr>
        <w:t>-1</w:t>
      </w:r>
      <w:r w:rsidRPr="00BF178A">
        <w:rPr>
          <w:rFonts w:ascii="Arial" w:hAnsi="Arial" w:cs="Arial"/>
          <w:color w:val="231F20"/>
          <w:lang w:val="en-US"/>
        </w:rPr>
        <w:t>); and total percentage of carbon and nitrogen</w:t>
      </w:r>
      <w:r w:rsidRPr="00BF178A">
        <w:rPr>
          <w:rFonts w:ascii="Arial" w:hAnsi="Arial" w:cs="Arial"/>
          <w:lang w:val="en-US"/>
        </w:rPr>
        <w:t xml:space="preserve"> (</w:t>
      </w:r>
      <w:proofErr w:type="spellStart"/>
      <w:r w:rsidRPr="00BF178A">
        <w:rPr>
          <w:rFonts w:ascii="Arial" w:hAnsi="Arial" w:cs="Arial"/>
          <w:color w:val="231F20"/>
          <w:lang w:val="en-US"/>
        </w:rPr>
        <w:t>Elementar</w:t>
      </w:r>
      <w:proofErr w:type="spellEnd"/>
      <w:r w:rsidRPr="00BF178A">
        <w:rPr>
          <w:rFonts w:ascii="Arial" w:hAnsi="Arial" w:cs="Arial"/>
          <w:color w:val="231F20"/>
          <w:lang w:val="en-US"/>
        </w:rPr>
        <w:t xml:space="preserve"> </w:t>
      </w:r>
      <w:proofErr w:type="spellStart"/>
      <w:r w:rsidRPr="00BF178A">
        <w:rPr>
          <w:rFonts w:ascii="Arial" w:hAnsi="Arial" w:cs="Arial"/>
          <w:color w:val="231F20"/>
          <w:lang w:val="en-US"/>
        </w:rPr>
        <w:t>Vario</w:t>
      </w:r>
      <w:proofErr w:type="spellEnd"/>
      <w:r w:rsidRPr="00BF178A">
        <w:rPr>
          <w:rFonts w:ascii="Arial" w:hAnsi="Arial" w:cs="Arial"/>
          <w:color w:val="231F20"/>
          <w:lang w:val="en-US"/>
        </w:rPr>
        <w:t xml:space="preserve"> EL elemental </w:t>
      </w:r>
      <w:proofErr w:type="spellStart"/>
      <w:r w:rsidRPr="00BF178A">
        <w:rPr>
          <w:rFonts w:ascii="Arial" w:hAnsi="Arial" w:cs="Arial"/>
          <w:color w:val="231F20"/>
          <w:lang w:val="en-US"/>
        </w:rPr>
        <w:t>analyser</w:t>
      </w:r>
      <w:proofErr w:type="spellEnd"/>
      <w:r w:rsidRPr="00BF178A">
        <w:rPr>
          <w:rFonts w:ascii="Arial" w:hAnsi="Arial" w:cs="Arial"/>
          <w:color w:val="231F20"/>
          <w:lang w:val="en-US"/>
        </w:rPr>
        <w:t>).</w:t>
      </w:r>
    </w:p>
    <w:p w14:paraId="4CFF51FE" w14:textId="77777777" w:rsidR="00BF178A" w:rsidRPr="00BF178A" w:rsidRDefault="00BF178A" w:rsidP="00BF178A">
      <w:pPr>
        <w:autoSpaceDE w:val="0"/>
        <w:autoSpaceDN w:val="0"/>
        <w:adjustRightInd w:val="0"/>
        <w:jc w:val="both"/>
        <w:rPr>
          <w:rFonts w:ascii="Arial" w:hAnsi="Arial" w:cs="Arial"/>
          <w:color w:val="231F20"/>
          <w:lang w:val="en-US"/>
        </w:rPr>
      </w:pPr>
    </w:p>
    <w:p w14:paraId="79F960B3" w14:textId="18798565" w:rsidR="00BF178A" w:rsidRDefault="00BF178A" w:rsidP="00BF178A">
      <w:pPr>
        <w:autoSpaceDE w:val="0"/>
        <w:autoSpaceDN w:val="0"/>
        <w:adjustRightInd w:val="0"/>
        <w:jc w:val="both"/>
        <w:rPr>
          <w:rFonts w:ascii="Arial" w:hAnsi="Arial" w:cs="Arial"/>
          <w:b/>
          <w:lang w:val="en-US"/>
        </w:rPr>
      </w:pPr>
      <w:r w:rsidRPr="00BF178A">
        <w:rPr>
          <w:rFonts w:ascii="Arial" w:hAnsi="Arial" w:cs="Arial"/>
          <w:b/>
          <w:lang w:val="en-US"/>
        </w:rPr>
        <w:t>STATISTICAL MODELLING</w:t>
      </w:r>
    </w:p>
    <w:p w14:paraId="08FF2C57" w14:textId="77777777" w:rsidR="00BF178A" w:rsidRPr="00BF178A" w:rsidRDefault="00BF178A" w:rsidP="00BF178A">
      <w:pPr>
        <w:autoSpaceDE w:val="0"/>
        <w:autoSpaceDN w:val="0"/>
        <w:adjustRightInd w:val="0"/>
        <w:jc w:val="both"/>
        <w:rPr>
          <w:rFonts w:ascii="Arial" w:hAnsi="Arial" w:cs="Arial"/>
          <w:b/>
          <w:color w:val="231F20"/>
          <w:lang w:val="en-US"/>
        </w:rPr>
      </w:pPr>
    </w:p>
    <w:p w14:paraId="0F249718" w14:textId="09C5356F" w:rsidR="00BF178A" w:rsidRDefault="00BF178A" w:rsidP="00BF178A">
      <w:pPr>
        <w:jc w:val="both"/>
        <w:rPr>
          <w:rFonts w:ascii="Arial" w:hAnsi="Arial" w:cs="Arial"/>
          <w:lang w:val="en-US"/>
        </w:rPr>
      </w:pPr>
      <w:r w:rsidRPr="00BF178A">
        <w:rPr>
          <w:rFonts w:ascii="Arial" w:hAnsi="Arial" w:cs="Arial"/>
          <w:color w:val="231F20"/>
          <w:lang w:val="en-US"/>
        </w:rPr>
        <w:t>Plant assemblage structure was assessed using the linear ordination method of partial redundancy analysis (</w:t>
      </w:r>
      <w:proofErr w:type="spellStart"/>
      <w:r w:rsidRPr="00BF178A">
        <w:rPr>
          <w:rFonts w:ascii="Arial" w:hAnsi="Arial" w:cs="Arial"/>
          <w:color w:val="231F20"/>
          <w:lang w:val="en-US"/>
        </w:rPr>
        <w:t>pRDA</w:t>
      </w:r>
      <w:proofErr w:type="spellEnd"/>
      <w:r w:rsidRPr="00BF178A">
        <w:rPr>
          <w:rFonts w:ascii="Arial" w:hAnsi="Arial" w:cs="Arial"/>
          <w:color w:val="231F20"/>
          <w:lang w:val="en-US"/>
        </w:rPr>
        <w:t>; CANOCO version 4·5) because of the short gradient lengths determined from a preliminary detrended correspondence analysis (DCA) (Axis 1 gradient length = 2.256). RDA identifies trends in the plant species data that are linearly related to a set of constraining, explanatory variables (</w:t>
      </w:r>
      <w:proofErr w:type="spellStart"/>
      <w:r w:rsidRPr="00BF178A">
        <w:rPr>
          <w:rFonts w:ascii="Arial" w:hAnsi="Arial" w:cs="Arial"/>
          <w:color w:val="231F20"/>
          <w:lang w:val="en-US"/>
        </w:rPr>
        <w:t>ter</w:t>
      </w:r>
      <w:proofErr w:type="spellEnd"/>
      <w:r w:rsidRPr="00BF178A">
        <w:rPr>
          <w:rFonts w:ascii="Arial" w:hAnsi="Arial" w:cs="Arial"/>
          <w:color w:val="231F20"/>
          <w:lang w:val="en-US"/>
        </w:rPr>
        <w:t xml:space="preserve"> </w:t>
      </w:r>
      <w:proofErr w:type="spellStart"/>
      <w:r w:rsidRPr="00BF178A">
        <w:rPr>
          <w:rFonts w:ascii="Arial" w:hAnsi="Arial" w:cs="Arial"/>
          <w:color w:val="231F20"/>
          <w:lang w:val="en-US"/>
        </w:rPr>
        <w:t>Braak</w:t>
      </w:r>
      <w:proofErr w:type="spellEnd"/>
      <w:r w:rsidRPr="00BF178A">
        <w:rPr>
          <w:rFonts w:ascii="Arial" w:hAnsi="Arial" w:cs="Arial"/>
          <w:color w:val="231F20"/>
          <w:lang w:val="en-US"/>
        </w:rPr>
        <w:t xml:space="preserve"> and </w:t>
      </w:r>
      <w:proofErr w:type="spellStart"/>
      <w:r w:rsidRPr="00BF178A">
        <w:rPr>
          <w:rFonts w:ascii="Arial" w:hAnsi="Arial" w:cs="Arial"/>
          <w:color w:val="231F20"/>
          <w:lang w:val="en-US"/>
        </w:rPr>
        <w:t>Šmilauer</w:t>
      </w:r>
      <w:proofErr w:type="spellEnd"/>
      <w:r w:rsidRPr="00BF178A">
        <w:rPr>
          <w:rFonts w:ascii="Arial" w:hAnsi="Arial" w:cs="Arial"/>
          <w:color w:val="231F20"/>
          <w:lang w:val="en-US"/>
        </w:rPr>
        <w:t>, 1998). Potential explanatory variables included the presence or absence of livestock grazing (categorical variable), sampling year (categorical variable), tree density (n/25m</w:t>
      </w:r>
      <w:r w:rsidRPr="00BF178A">
        <w:rPr>
          <w:rFonts w:ascii="Arial" w:hAnsi="Arial" w:cs="Arial"/>
          <w:color w:val="231F20"/>
          <w:vertAlign w:val="superscript"/>
          <w:lang w:val="en-US"/>
        </w:rPr>
        <w:t>2</w:t>
      </w:r>
      <w:r w:rsidRPr="00BF178A">
        <w:rPr>
          <w:rFonts w:ascii="Arial" w:hAnsi="Arial" w:cs="Arial"/>
          <w:color w:val="231F20"/>
          <w:lang w:val="en-US"/>
        </w:rPr>
        <w:t>), sward height (cm), cover of bare and trampled soil</w:t>
      </w:r>
      <w:r w:rsidRPr="00BF178A">
        <w:rPr>
          <w:rFonts w:ascii="Arial" w:hAnsi="Arial" w:cs="Arial"/>
          <w:lang w:val="en-US"/>
        </w:rPr>
        <w:t xml:space="preserve"> </w:t>
      </w:r>
      <w:r w:rsidRPr="00BF178A">
        <w:rPr>
          <w:rFonts w:ascii="Arial" w:hAnsi="Arial" w:cs="Arial"/>
          <w:color w:val="231F20"/>
          <w:lang w:val="en-US"/>
        </w:rPr>
        <w:t>and leaf-litter (%), pH and nutrient concentration of soil: phosphate (PO</w:t>
      </w:r>
      <w:r w:rsidRPr="00BF178A">
        <w:rPr>
          <w:rFonts w:ascii="Arial" w:hAnsi="Arial" w:cs="Arial"/>
          <w:color w:val="231F20"/>
          <w:vertAlign w:val="subscript"/>
          <w:lang w:val="en-US"/>
        </w:rPr>
        <w:t xml:space="preserve">4 </w:t>
      </w:r>
      <w:r w:rsidRPr="00BF178A">
        <w:rPr>
          <w:rFonts w:ascii="Arial" w:hAnsi="Arial" w:cs="Arial"/>
          <w:color w:val="231F20"/>
          <w:lang w:val="en-US"/>
        </w:rPr>
        <w:t>–P mg</w:t>
      </w:r>
      <w:r w:rsidRPr="00BF178A">
        <w:rPr>
          <w:rFonts w:ascii="Arial" w:hAnsi="Arial" w:cs="Arial"/>
          <w:color w:val="231F20"/>
          <w:vertAlign w:val="superscript"/>
          <w:lang w:val="en-US"/>
        </w:rPr>
        <w:t>-1</w:t>
      </w:r>
      <w:r w:rsidRPr="00BF178A">
        <w:rPr>
          <w:rFonts w:ascii="Arial" w:hAnsi="Arial" w:cs="Arial"/>
          <w:color w:val="231F20"/>
          <w:lang w:val="en-US"/>
        </w:rPr>
        <w:t xml:space="preserve"> kg</w:t>
      </w:r>
      <w:r w:rsidRPr="00BF178A">
        <w:rPr>
          <w:rFonts w:ascii="Arial" w:hAnsi="Arial" w:cs="Arial"/>
          <w:color w:val="231F20"/>
          <w:vertAlign w:val="superscript"/>
          <w:lang w:val="en-US"/>
        </w:rPr>
        <w:t>-1</w:t>
      </w:r>
      <w:r w:rsidRPr="00BF178A">
        <w:rPr>
          <w:rFonts w:ascii="Arial" w:hAnsi="Arial" w:cs="Arial"/>
          <w:color w:val="231F20"/>
          <w:lang w:val="en-US"/>
        </w:rPr>
        <w:t>), total carbon (%) and nitrogen (%). Variables derived from the</w:t>
      </w:r>
      <w:r w:rsidRPr="00BF178A">
        <w:rPr>
          <w:rFonts w:ascii="Arial" w:hAnsi="Arial" w:cs="Arial"/>
          <w:lang w:val="en-US"/>
        </w:rPr>
        <w:t xml:space="preserve"> </w:t>
      </w:r>
      <w:r w:rsidRPr="00BF178A">
        <w:rPr>
          <w:rFonts w:ascii="Arial" w:hAnsi="Arial" w:cs="Arial"/>
          <w:color w:val="231F20"/>
          <w:lang w:val="en-US"/>
        </w:rPr>
        <w:t xml:space="preserve">plant species data (percentage cover of herbaceous dicots, graminoid monocots, bryophytes and pteridophytes) were fitted as supplementary variables to illustrate further trends in the plant assemblage and do not affect the variance explained by the </w:t>
      </w:r>
      <w:proofErr w:type="spellStart"/>
      <w:r w:rsidRPr="00BF178A">
        <w:rPr>
          <w:rFonts w:ascii="Arial" w:hAnsi="Arial" w:cs="Arial"/>
          <w:color w:val="231F20"/>
          <w:lang w:val="en-US"/>
        </w:rPr>
        <w:t>pRDA</w:t>
      </w:r>
      <w:proofErr w:type="spellEnd"/>
      <w:r w:rsidRPr="00BF178A">
        <w:rPr>
          <w:rFonts w:ascii="Arial" w:hAnsi="Arial" w:cs="Arial"/>
          <w:color w:val="231F20"/>
          <w:lang w:val="en-US"/>
        </w:rPr>
        <w:t xml:space="preserve">. Prior to analysis, the percentage cover values were converted to the DOMIN scale to account for any differences due to recorder identity and then log-transformed prior to model fitting to </w:t>
      </w:r>
      <w:proofErr w:type="spellStart"/>
      <w:r w:rsidRPr="00BF178A">
        <w:rPr>
          <w:rFonts w:ascii="Arial" w:hAnsi="Arial" w:cs="Arial"/>
          <w:color w:val="231F20"/>
          <w:lang w:val="en-US"/>
        </w:rPr>
        <w:t>minimise</w:t>
      </w:r>
      <w:proofErr w:type="spellEnd"/>
      <w:r w:rsidRPr="00BF178A">
        <w:rPr>
          <w:rFonts w:ascii="Arial" w:hAnsi="Arial" w:cs="Arial"/>
          <w:color w:val="231F20"/>
          <w:lang w:val="en-US"/>
        </w:rPr>
        <w:t xml:space="preserve"> the influence of any outliers on the resulting ordination. Plant species that constituted only 1% of the total vegetation cover when summed across all sampled sites were removed from the data set to avoid the </w:t>
      </w:r>
      <w:proofErr w:type="spellStart"/>
      <w:r w:rsidRPr="00BF178A">
        <w:rPr>
          <w:rFonts w:ascii="Arial" w:hAnsi="Arial" w:cs="Arial"/>
          <w:color w:val="231F20"/>
          <w:lang w:val="en-US"/>
        </w:rPr>
        <w:t>pRDA</w:t>
      </w:r>
      <w:proofErr w:type="spellEnd"/>
      <w:r w:rsidRPr="00BF178A">
        <w:rPr>
          <w:rFonts w:ascii="Arial" w:hAnsi="Arial" w:cs="Arial"/>
          <w:color w:val="231F20"/>
          <w:lang w:val="en-US"/>
        </w:rPr>
        <w:t xml:space="preserve"> being biased by species that occurred only in a limited number of sites (</w:t>
      </w:r>
      <w:proofErr w:type="spellStart"/>
      <w:r w:rsidRPr="00BF178A">
        <w:rPr>
          <w:rFonts w:ascii="Arial" w:hAnsi="Arial" w:cs="Arial"/>
          <w:color w:val="231F20"/>
          <w:lang w:val="en-US"/>
        </w:rPr>
        <w:t>ter</w:t>
      </w:r>
      <w:proofErr w:type="spellEnd"/>
      <w:r w:rsidRPr="00BF178A">
        <w:rPr>
          <w:rFonts w:ascii="Arial" w:hAnsi="Arial" w:cs="Arial"/>
          <w:color w:val="231F20"/>
          <w:lang w:val="en-US"/>
        </w:rPr>
        <w:t xml:space="preserve"> </w:t>
      </w:r>
      <w:proofErr w:type="spellStart"/>
      <w:r w:rsidRPr="00BF178A">
        <w:rPr>
          <w:rFonts w:ascii="Arial" w:hAnsi="Arial" w:cs="Arial"/>
          <w:color w:val="231F20"/>
          <w:lang w:val="en-US"/>
        </w:rPr>
        <w:t>Braak</w:t>
      </w:r>
      <w:proofErr w:type="spellEnd"/>
      <w:r w:rsidRPr="00BF178A">
        <w:rPr>
          <w:rFonts w:ascii="Arial" w:hAnsi="Arial" w:cs="Arial"/>
          <w:color w:val="231F20"/>
          <w:lang w:val="en-US"/>
        </w:rPr>
        <w:t xml:space="preserve"> and </w:t>
      </w:r>
      <w:proofErr w:type="spellStart"/>
      <w:r w:rsidRPr="00BF178A">
        <w:rPr>
          <w:rFonts w:ascii="Arial" w:hAnsi="Arial" w:cs="Arial"/>
          <w:color w:val="231F20"/>
          <w:lang w:val="en-US"/>
        </w:rPr>
        <w:t>Šmilauer</w:t>
      </w:r>
      <w:proofErr w:type="spellEnd"/>
      <w:r w:rsidRPr="00BF178A">
        <w:rPr>
          <w:rFonts w:ascii="Arial" w:hAnsi="Arial" w:cs="Arial"/>
          <w:color w:val="231F20"/>
          <w:lang w:val="en-US"/>
        </w:rPr>
        <w:t>, 1998). The significance of the explanatory variables in structuring the plant assemblage was determined with a forward selection procedure using Monte-Carlo tests constrained within sites (499 permutations). As the plant data had been collected in 2007 &amp; 2008, sample year was treated as a temporal split-plot within the RDA analysis, and samples were permuted freely between whole plots (woodland site) only (</w:t>
      </w:r>
      <w:proofErr w:type="spellStart"/>
      <w:r w:rsidRPr="00BF178A">
        <w:rPr>
          <w:rFonts w:ascii="Arial" w:hAnsi="Arial" w:cs="Arial"/>
          <w:color w:val="231F20"/>
          <w:lang w:val="en-US"/>
        </w:rPr>
        <w:t>ter</w:t>
      </w:r>
      <w:proofErr w:type="spellEnd"/>
      <w:r w:rsidRPr="00BF178A">
        <w:rPr>
          <w:rFonts w:ascii="Arial" w:hAnsi="Arial" w:cs="Arial"/>
          <w:color w:val="231F20"/>
          <w:lang w:val="en-US"/>
        </w:rPr>
        <w:t xml:space="preserve"> </w:t>
      </w:r>
      <w:proofErr w:type="spellStart"/>
      <w:r w:rsidRPr="00BF178A">
        <w:rPr>
          <w:rFonts w:ascii="Arial" w:hAnsi="Arial" w:cs="Arial"/>
          <w:color w:val="231F20"/>
          <w:lang w:val="en-US"/>
        </w:rPr>
        <w:t>Braak</w:t>
      </w:r>
      <w:proofErr w:type="spellEnd"/>
      <w:r w:rsidRPr="00BF178A">
        <w:rPr>
          <w:rFonts w:ascii="Arial" w:hAnsi="Arial" w:cs="Arial"/>
          <w:color w:val="231F20"/>
          <w:lang w:val="en-US"/>
        </w:rPr>
        <w:t xml:space="preserve"> and </w:t>
      </w:r>
      <w:proofErr w:type="spellStart"/>
      <w:r w:rsidRPr="00BF178A">
        <w:rPr>
          <w:rFonts w:ascii="Arial" w:hAnsi="Arial" w:cs="Arial"/>
          <w:color w:val="231F20"/>
          <w:lang w:val="en-US"/>
        </w:rPr>
        <w:t>Šmilauer</w:t>
      </w:r>
      <w:proofErr w:type="spellEnd"/>
      <w:r w:rsidRPr="00BF178A">
        <w:rPr>
          <w:rFonts w:ascii="Arial" w:hAnsi="Arial" w:cs="Arial"/>
          <w:color w:val="231F20"/>
          <w:lang w:val="en-US"/>
        </w:rPr>
        <w:t>, 1998). Thus, the model presented is a partial redundancy analysis (</w:t>
      </w:r>
      <w:proofErr w:type="spellStart"/>
      <w:r w:rsidRPr="00BF178A">
        <w:rPr>
          <w:rFonts w:ascii="Arial" w:hAnsi="Arial" w:cs="Arial"/>
          <w:color w:val="231F20"/>
          <w:lang w:val="en-US"/>
        </w:rPr>
        <w:t>pRDA</w:t>
      </w:r>
      <w:proofErr w:type="spellEnd"/>
      <w:r w:rsidRPr="00BF178A">
        <w:rPr>
          <w:rFonts w:ascii="Arial" w:hAnsi="Arial" w:cs="Arial"/>
          <w:color w:val="231F20"/>
          <w:lang w:val="en-US"/>
        </w:rPr>
        <w:t>) controlling for site-level variance when assessing the impact of grazing, and covariates, on the plant assemblage.</w:t>
      </w:r>
    </w:p>
    <w:p w14:paraId="532F70F0" w14:textId="69909082" w:rsidR="00BF178A" w:rsidRPr="00BF178A" w:rsidRDefault="00BF178A" w:rsidP="00BF178A">
      <w:pPr>
        <w:autoSpaceDE w:val="0"/>
        <w:autoSpaceDN w:val="0"/>
        <w:adjustRightInd w:val="0"/>
        <w:spacing w:after="240" w:line="480" w:lineRule="auto"/>
        <w:jc w:val="both"/>
        <w:rPr>
          <w:rFonts w:ascii="Arial" w:hAnsi="Arial" w:cs="Arial"/>
          <w:i/>
          <w:lang w:val="en-US"/>
        </w:rPr>
      </w:pPr>
      <w:r>
        <w:rPr>
          <w:rFonts w:ascii="Arial" w:hAnsi="Arial" w:cs="Arial"/>
          <w:lang w:val="en-US"/>
        </w:rPr>
        <w:br/>
      </w:r>
      <w:r w:rsidRPr="00BF178A">
        <w:rPr>
          <w:rFonts w:ascii="Arial" w:hAnsi="Arial" w:cs="Arial"/>
          <w:b/>
          <w:lang w:val="en-US"/>
        </w:rPr>
        <w:t>RESULTS</w:t>
      </w:r>
      <w:r>
        <w:rPr>
          <w:rFonts w:ascii="Arial" w:hAnsi="Arial" w:cs="Arial"/>
          <w:b/>
          <w:lang w:val="en-US"/>
        </w:rPr>
        <w:br/>
      </w:r>
      <w:r w:rsidRPr="00BF178A">
        <w:rPr>
          <w:rFonts w:ascii="Arial" w:hAnsi="Arial" w:cs="Arial"/>
          <w:i/>
          <w:lang w:val="en-US"/>
        </w:rPr>
        <w:t xml:space="preserve">Plant </w:t>
      </w:r>
      <w:r>
        <w:rPr>
          <w:rFonts w:ascii="Arial" w:hAnsi="Arial" w:cs="Arial"/>
          <w:i/>
          <w:lang w:val="en-US"/>
        </w:rPr>
        <w:t>A</w:t>
      </w:r>
      <w:r w:rsidRPr="00BF178A">
        <w:rPr>
          <w:rFonts w:ascii="Arial" w:hAnsi="Arial" w:cs="Arial"/>
          <w:i/>
          <w:lang w:val="en-US"/>
        </w:rPr>
        <w:t>ssemblages</w:t>
      </w:r>
    </w:p>
    <w:p w14:paraId="5E0C7B41" w14:textId="77777777" w:rsidR="00BF178A" w:rsidRPr="00BF178A" w:rsidRDefault="00BF178A" w:rsidP="00BF178A">
      <w:pPr>
        <w:jc w:val="both"/>
        <w:rPr>
          <w:rFonts w:ascii="Arial" w:hAnsi="Arial" w:cs="Arial"/>
          <w:lang w:val="en-US"/>
        </w:rPr>
      </w:pPr>
      <w:r w:rsidRPr="00BF178A">
        <w:rPr>
          <w:rFonts w:ascii="Arial" w:hAnsi="Arial" w:cs="Arial"/>
          <w:lang w:val="en-US"/>
        </w:rPr>
        <w:t xml:space="preserve">Total plant species richness (including wind pollinated species) tended to be greater in grazed (means ± SEM: 2007 = 31.4 ± 3.4; 2008 = 31.0 ± 3.6) than </w:t>
      </w:r>
      <w:proofErr w:type="spellStart"/>
      <w:r w:rsidRPr="00BF178A">
        <w:rPr>
          <w:rFonts w:ascii="Arial" w:hAnsi="Arial" w:cs="Arial"/>
          <w:lang w:val="en-US"/>
        </w:rPr>
        <w:t>ungrazed</w:t>
      </w:r>
      <w:proofErr w:type="spellEnd"/>
      <w:r w:rsidRPr="00BF178A">
        <w:rPr>
          <w:rFonts w:ascii="Arial" w:hAnsi="Arial" w:cs="Arial"/>
          <w:lang w:val="en-US"/>
        </w:rPr>
        <w:t xml:space="preserve"> (2007 = 24.8 ± 1.5; 2008 = 25.8 ± 1.4) sites, but these were not statistically significant in either year (GLM 2007: </w:t>
      </w:r>
      <w:r w:rsidRPr="00BF178A">
        <w:rPr>
          <w:rFonts w:ascii="Arial" w:hAnsi="Arial" w:cs="Arial"/>
          <w:i/>
          <w:lang w:val="en-US"/>
        </w:rPr>
        <w:t>F</w:t>
      </w:r>
      <w:r w:rsidRPr="00BF178A">
        <w:rPr>
          <w:rFonts w:ascii="Arial" w:hAnsi="Arial" w:cs="Arial"/>
          <w:vertAlign w:val="subscript"/>
          <w:lang w:val="en-US"/>
        </w:rPr>
        <w:t xml:space="preserve">1, 18 </w:t>
      </w:r>
      <w:r w:rsidRPr="00BF178A">
        <w:rPr>
          <w:rFonts w:ascii="Arial" w:hAnsi="Arial" w:cs="Arial"/>
          <w:lang w:val="en-US"/>
        </w:rPr>
        <w:t xml:space="preserve">= 2.24 </w:t>
      </w:r>
      <w:r w:rsidRPr="00BF178A">
        <w:rPr>
          <w:rFonts w:ascii="Arial" w:hAnsi="Arial" w:cs="Arial"/>
          <w:i/>
          <w:lang w:val="en-US"/>
        </w:rPr>
        <w:t>p</w:t>
      </w:r>
      <w:r w:rsidRPr="00BF178A">
        <w:rPr>
          <w:rFonts w:ascii="Arial" w:hAnsi="Arial" w:cs="Arial"/>
          <w:lang w:val="en-US"/>
        </w:rPr>
        <w:t xml:space="preserve"> = 0.1522; 2008: </w:t>
      </w:r>
      <w:r w:rsidRPr="00BF178A">
        <w:rPr>
          <w:rFonts w:ascii="Arial" w:hAnsi="Arial" w:cs="Arial"/>
          <w:i/>
          <w:lang w:val="en-US"/>
        </w:rPr>
        <w:t>F</w:t>
      </w:r>
      <w:r w:rsidRPr="00BF178A">
        <w:rPr>
          <w:rFonts w:ascii="Arial" w:hAnsi="Arial" w:cs="Arial"/>
          <w:vertAlign w:val="subscript"/>
          <w:lang w:val="en-US"/>
        </w:rPr>
        <w:t>1, 18</w:t>
      </w:r>
      <w:r w:rsidRPr="00BF178A">
        <w:rPr>
          <w:rFonts w:ascii="Arial" w:hAnsi="Arial" w:cs="Arial"/>
          <w:lang w:val="en-US"/>
        </w:rPr>
        <w:t xml:space="preserve"> =1.09, </w:t>
      </w:r>
      <w:r w:rsidRPr="00BF178A">
        <w:rPr>
          <w:rFonts w:ascii="Arial" w:hAnsi="Arial" w:cs="Arial"/>
          <w:i/>
          <w:lang w:val="en-US"/>
        </w:rPr>
        <w:t>p</w:t>
      </w:r>
      <w:r w:rsidRPr="00BF178A">
        <w:rPr>
          <w:rFonts w:ascii="Arial" w:hAnsi="Arial" w:cs="Arial"/>
          <w:lang w:val="en-US"/>
        </w:rPr>
        <w:t xml:space="preserve"> = 0. 3095). Plant assemblage structure was significantly modified by the presence of grazing livestock with the fitted environmental variables explaining 37% of the variance in the plant community data (Fig. 1). Grazed plant assemblages were generally more heterogeneous across sites than </w:t>
      </w:r>
      <w:proofErr w:type="spellStart"/>
      <w:r w:rsidRPr="00BF178A">
        <w:rPr>
          <w:rFonts w:ascii="Arial" w:hAnsi="Arial" w:cs="Arial"/>
          <w:lang w:val="en-US"/>
        </w:rPr>
        <w:t>ungrazed</w:t>
      </w:r>
      <w:proofErr w:type="spellEnd"/>
      <w:r w:rsidRPr="00BF178A">
        <w:rPr>
          <w:rFonts w:ascii="Arial" w:hAnsi="Arial" w:cs="Arial"/>
          <w:lang w:val="en-US"/>
        </w:rPr>
        <w:t xml:space="preserve"> plant assemblages (Fig.1). Grazed sites were characterized by dicotyledonous herb (e.g. </w:t>
      </w:r>
      <w:proofErr w:type="spellStart"/>
      <w:r w:rsidRPr="00BF178A">
        <w:rPr>
          <w:rFonts w:ascii="Arial" w:hAnsi="Arial" w:cs="Arial"/>
          <w:i/>
          <w:lang w:val="en-US"/>
        </w:rPr>
        <w:t>Trifolium</w:t>
      </w:r>
      <w:proofErr w:type="spellEnd"/>
      <w:r w:rsidRPr="00BF178A">
        <w:rPr>
          <w:rFonts w:ascii="Arial" w:hAnsi="Arial" w:cs="Arial"/>
          <w:i/>
          <w:lang w:val="en-US"/>
        </w:rPr>
        <w:t xml:space="preserve"> </w:t>
      </w:r>
      <w:proofErr w:type="spellStart"/>
      <w:r w:rsidRPr="00BF178A">
        <w:rPr>
          <w:rFonts w:ascii="Arial" w:hAnsi="Arial" w:cs="Arial"/>
          <w:i/>
          <w:lang w:val="en-US"/>
        </w:rPr>
        <w:t>repens</w:t>
      </w:r>
      <w:proofErr w:type="spellEnd"/>
      <w:r w:rsidRPr="00BF178A">
        <w:rPr>
          <w:rFonts w:ascii="Arial" w:hAnsi="Arial" w:cs="Arial"/>
          <w:lang w:val="en-US"/>
        </w:rPr>
        <w:t xml:space="preserve">, </w:t>
      </w:r>
      <w:r w:rsidRPr="00BF178A">
        <w:rPr>
          <w:rFonts w:ascii="Arial" w:hAnsi="Arial" w:cs="Arial"/>
          <w:i/>
          <w:lang w:val="en-US"/>
        </w:rPr>
        <w:t xml:space="preserve">Ranunculus </w:t>
      </w:r>
      <w:proofErr w:type="spellStart"/>
      <w:r w:rsidRPr="00BF178A">
        <w:rPr>
          <w:rFonts w:ascii="Arial" w:hAnsi="Arial" w:cs="Arial"/>
          <w:i/>
          <w:lang w:val="en-US"/>
        </w:rPr>
        <w:t>repens</w:t>
      </w:r>
      <w:proofErr w:type="spellEnd"/>
      <w:r w:rsidRPr="00BF178A">
        <w:rPr>
          <w:rFonts w:ascii="Arial" w:hAnsi="Arial" w:cs="Arial"/>
          <w:lang w:val="en-US"/>
        </w:rPr>
        <w:t xml:space="preserve">, </w:t>
      </w:r>
      <w:proofErr w:type="spellStart"/>
      <w:r w:rsidRPr="00BF178A">
        <w:rPr>
          <w:rFonts w:ascii="Arial" w:hAnsi="Arial" w:cs="Arial"/>
          <w:i/>
          <w:lang w:val="en-US"/>
        </w:rPr>
        <w:t>Stellaria</w:t>
      </w:r>
      <w:proofErr w:type="spellEnd"/>
      <w:r w:rsidRPr="00BF178A">
        <w:rPr>
          <w:rFonts w:ascii="Arial" w:hAnsi="Arial" w:cs="Arial"/>
          <w:lang w:val="en-US"/>
        </w:rPr>
        <w:t xml:space="preserve"> </w:t>
      </w:r>
      <w:r w:rsidRPr="00BF178A">
        <w:rPr>
          <w:rFonts w:ascii="Arial" w:hAnsi="Arial" w:cs="Arial"/>
          <w:i/>
          <w:lang w:val="en-US"/>
        </w:rPr>
        <w:t>media</w:t>
      </w:r>
      <w:r w:rsidRPr="00BF178A">
        <w:rPr>
          <w:rFonts w:ascii="Arial" w:hAnsi="Arial" w:cs="Arial"/>
          <w:lang w:val="en-US"/>
        </w:rPr>
        <w:t xml:space="preserve">, </w:t>
      </w:r>
      <w:r w:rsidRPr="00BF178A">
        <w:rPr>
          <w:rFonts w:ascii="Arial" w:hAnsi="Arial" w:cs="Arial"/>
          <w:i/>
          <w:lang w:val="en-US"/>
        </w:rPr>
        <w:t>Prunella</w:t>
      </w:r>
      <w:r w:rsidRPr="00BF178A">
        <w:rPr>
          <w:rFonts w:ascii="Arial" w:hAnsi="Arial" w:cs="Arial"/>
          <w:lang w:val="en-US"/>
        </w:rPr>
        <w:t xml:space="preserve"> </w:t>
      </w:r>
      <w:r w:rsidRPr="00BF178A">
        <w:rPr>
          <w:rFonts w:ascii="Arial" w:hAnsi="Arial" w:cs="Arial"/>
          <w:i/>
          <w:lang w:val="en-US"/>
        </w:rPr>
        <w:t>vulgaris</w:t>
      </w:r>
      <w:r w:rsidRPr="00BF178A">
        <w:rPr>
          <w:rFonts w:ascii="Arial" w:hAnsi="Arial" w:cs="Arial"/>
          <w:lang w:val="en-US"/>
        </w:rPr>
        <w:t xml:space="preserve">, </w:t>
      </w:r>
      <w:r w:rsidRPr="00BF178A">
        <w:rPr>
          <w:rFonts w:ascii="Arial" w:hAnsi="Arial" w:cs="Arial"/>
          <w:i/>
          <w:lang w:val="en-US"/>
        </w:rPr>
        <w:t>Cirsium</w:t>
      </w:r>
      <w:r w:rsidRPr="00BF178A">
        <w:rPr>
          <w:rFonts w:ascii="Arial" w:hAnsi="Arial" w:cs="Arial"/>
          <w:lang w:val="en-US"/>
        </w:rPr>
        <w:t xml:space="preserve"> </w:t>
      </w:r>
      <w:proofErr w:type="spellStart"/>
      <w:r w:rsidRPr="00BF178A">
        <w:rPr>
          <w:rFonts w:ascii="Arial" w:hAnsi="Arial" w:cs="Arial"/>
          <w:i/>
          <w:lang w:val="en-US"/>
        </w:rPr>
        <w:t>arvense</w:t>
      </w:r>
      <w:proofErr w:type="spellEnd"/>
      <w:r w:rsidRPr="00BF178A">
        <w:rPr>
          <w:rFonts w:ascii="Arial" w:hAnsi="Arial" w:cs="Arial"/>
          <w:lang w:val="en-US"/>
        </w:rPr>
        <w:t xml:space="preserve">, </w:t>
      </w:r>
      <w:r w:rsidRPr="00BF178A">
        <w:rPr>
          <w:rFonts w:ascii="Arial" w:hAnsi="Arial" w:cs="Arial"/>
          <w:i/>
          <w:lang w:val="en-US"/>
        </w:rPr>
        <w:t>Veronica</w:t>
      </w:r>
      <w:r w:rsidRPr="00BF178A">
        <w:rPr>
          <w:rFonts w:ascii="Arial" w:hAnsi="Arial" w:cs="Arial"/>
          <w:lang w:val="en-US"/>
        </w:rPr>
        <w:t xml:space="preserve"> spp.) and grass (e.g. </w:t>
      </w:r>
      <w:r w:rsidRPr="00BF178A">
        <w:rPr>
          <w:rFonts w:ascii="Arial" w:hAnsi="Arial" w:cs="Arial"/>
          <w:i/>
          <w:lang w:val="en-US"/>
        </w:rPr>
        <w:t>Agrostis</w:t>
      </w:r>
      <w:r w:rsidRPr="00BF178A">
        <w:rPr>
          <w:rFonts w:ascii="Arial" w:hAnsi="Arial" w:cs="Arial"/>
          <w:lang w:val="en-US"/>
        </w:rPr>
        <w:t xml:space="preserve"> </w:t>
      </w:r>
      <w:r w:rsidRPr="00BF178A">
        <w:rPr>
          <w:rFonts w:ascii="Arial" w:hAnsi="Arial" w:cs="Arial"/>
          <w:i/>
          <w:lang w:val="en-US"/>
        </w:rPr>
        <w:t>capillaries</w:t>
      </w:r>
      <w:r w:rsidRPr="00BF178A">
        <w:rPr>
          <w:rFonts w:ascii="Arial" w:hAnsi="Arial" w:cs="Arial"/>
          <w:lang w:val="en-US"/>
        </w:rPr>
        <w:t xml:space="preserve">, </w:t>
      </w:r>
      <w:proofErr w:type="spellStart"/>
      <w:r w:rsidRPr="00BF178A">
        <w:rPr>
          <w:rFonts w:ascii="Arial" w:hAnsi="Arial" w:cs="Arial"/>
          <w:i/>
          <w:lang w:val="en-US"/>
        </w:rPr>
        <w:t>Poa</w:t>
      </w:r>
      <w:proofErr w:type="spellEnd"/>
      <w:r w:rsidRPr="00BF178A">
        <w:rPr>
          <w:rFonts w:ascii="Arial" w:hAnsi="Arial" w:cs="Arial"/>
          <w:lang w:val="en-US"/>
        </w:rPr>
        <w:t xml:space="preserve"> </w:t>
      </w:r>
      <w:proofErr w:type="spellStart"/>
      <w:r w:rsidRPr="00BF178A">
        <w:rPr>
          <w:rFonts w:ascii="Arial" w:hAnsi="Arial" w:cs="Arial"/>
          <w:i/>
          <w:lang w:val="en-US"/>
        </w:rPr>
        <w:t>trivialis</w:t>
      </w:r>
      <w:proofErr w:type="spellEnd"/>
      <w:r w:rsidRPr="00BF178A">
        <w:rPr>
          <w:rFonts w:ascii="Arial" w:hAnsi="Arial" w:cs="Arial"/>
          <w:lang w:val="en-US"/>
        </w:rPr>
        <w:t xml:space="preserve">, </w:t>
      </w:r>
      <w:proofErr w:type="spellStart"/>
      <w:r w:rsidRPr="00BF178A">
        <w:rPr>
          <w:rFonts w:ascii="Arial" w:hAnsi="Arial" w:cs="Arial"/>
          <w:i/>
          <w:lang w:val="en-US"/>
        </w:rPr>
        <w:t>Lolium</w:t>
      </w:r>
      <w:proofErr w:type="spellEnd"/>
      <w:r w:rsidRPr="00BF178A">
        <w:rPr>
          <w:rFonts w:ascii="Arial" w:hAnsi="Arial" w:cs="Arial"/>
          <w:lang w:val="en-US"/>
        </w:rPr>
        <w:t xml:space="preserve"> </w:t>
      </w:r>
      <w:proofErr w:type="spellStart"/>
      <w:r w:rsidRPr="00BF178A">
        <w:rPr>
          <w:rFonts w:ascii="Arial" w:hAnsi="Arial" w:cs="Arial"/>
          <w:i/>
          <w:lang w:val="en-US"/>
        </w:rPr>
        <w:t>perenne</w:t>
      </w:r>
      <w:proofErr w:type="spellEnd"/>
      <w:r w:rsidRPr="00BF178A">
        <w:rPr>
          <w:rFonts w:ascii="Arial" w:hAnsi="Arial" w:cs="Arial"/>
          <w:lang w:val="en-US"/>
        </w:rPr>
        <w:t xml:space="preserve">) species relatively tolerant of grazing pressure (Fig 1). The </w:t>
      </w:r>
      <w:proofErr w:type="spellStart"/>
      <w:r w:rsidRPr="00BF178A">
        <w:rPr>
          <w:rFonts w:ascii="Arial" w:hAnsi="Arial" w:cs="Arial"/>
          <w:lang w:val="en-US"/>
        </w:rPr>
        <w:t>ungrazed</w:t>
      </w:r>
      <w:proofErr w:type="spellEnd"/>
      <w:r w:rsidRPr="00BF178A">
        <w:rPr>
          <w:rFonts w:ascii="Arial" w:hAnsi="Arial" w:cs="Arial"/>
          <w:lang w:val="en-US"/>
        </w:rPr>
        <w:t xml:space="preserve"> assemblages were typified by greater cover of pteridophytes (e.g. </w:t>
      </w:r>
      <w:proofErr w:type="spellStart"/>
      <w:r w:rsidRPr="00BF178A">
        <w:rPr>
          <w:rFonts w:ascii="Arial" w:hAnsi="Arial" w:cs="Arial"/>
          <w:i/>
          <w:lang w:val="en-US"/>
        </w:rPr>
        <w:t>Pteridium</w:t>
      </w:r>
      <w:proofErr w:type="spellEnd"/>
      <w:r w:rsidRPr="00BF178A">
        <w:rPr>
          <w:rFonts w:ascii="Arial" w:hAnsi="Arial" w:cs="Arial"/>
          <w:lang w:val="en-US"/>
        </w:rPr>
        <w:t xml:space="preserve"> </w:t>
      </w:r>
      <w:r w:rsidRPr="00BF178A">
        <w:rPr>
          <w:rFonts w:ascii="Arial" w:hAnsi="Arial" w:cs="Arial"/>
          <w:i/>
          <w:lang w:val="en-US"/>
        </w:rPr>
        <w:t>aquilinum</w:t>
      </w:r>
      <w:r w:rsidRPr="00BF178A">
        <w:rPr>
          <w:rFonts w:ascii="Arial" w:hAnsi="Arial" w:cs="Arial"/>
          <w:lang w:val="en-US"/>
        </w:rPr>
        <w:t xml:space="preserve">), sedges (e.g. </w:t>
      </w:r>
      <w:proofErr w:type="spellStart"/>
      <w:r w:rsidRPr="00BF178A">
        <w:rPr>
          <w:rFonts w:ascii="Arial" w:hAnsi="Arial" w:cs="Arial"/>
          <w:i/>
          <w:lang w:val="en-US"/>
        </w:rPr>
        <w:t>Carex</w:t>
      </w:r>
      <w:proofErr w:type="spellEnd"/>
      <w:r w:rsidRPr="00BF178A">
        <w:rPr>
          <w:rFonts w:ascii="Arial" w:hAnsi="Arial" w:cs="Arial"/>
          <w:lang w:val="en-US"/>
        </w:rPr>
        <w:t xml:space="preserve"> </w:t>
      </w:r>
      <w:r w:rsidRPr="00BF178A">
        <w:rPr>
          <w:rFonts w:ascii="Arial" w:hAnsi="Arial" w:cs="Arial"/>
          <w:i/>
          <w:lang w:val="en-US"/>
        </w:rPr>
        <w:t>panacea</w:t>
      </w:r>
      <w:r w:rsidRPr="00BF178A">
        <w:rPr>
          <w:rFonts w:ascii="Arial" w:hAnsi="Arial" w:cs="Arial"/>
          <w:lang w:val="en-US"/>
        </w:rPr>
        <w:t xml:space="preserve">), bryophytes (e.g. </w:t>
      </w:r>
      <w:proofErr w:type="spellStart"/>
      <w:r w:rsidRPr="00BF178A">
        <w:rPr>
          <w:rFonts w:ascii="Arial" w:hAnsi="Arial" w:cs="Arial"/>
          <w:i/>
          <w:lang w:val="en-US"/>
        </w:rPr>
        <w:t>Hylocomium</w:t>
      </w:r>
      <w:proofErr w:type="spellEnd"/>
      <w:r w:rsidRPr="00BF178A">
        <w:rPr>
          <w:rFonts w:ascii="Arial" w:hAnsi="Arial" w:cs="Arial"/>
          <w:lang w:val="en-US"/>
        </w:rPr>
        <w:t xml:space="preserve"> </w:t>
      </w:r>
      <w:proofErr w:type="spellStart"/>
      <w:r w:rsidRPr="00BF178A">
        <w:rPr>
          <w:rFonts w:ascii="Arial" w:hAnsi="Arial" w:cs="Arial"/>
          <w:i/>
          <w:lang w:val="en-US"/>
        </w:rPr>
        <w:t>splendens</w:t>
      </w:r>
      <w:proofErr w:type="spellEnd"/>
      <w:r w:rsidRPr="00BF178A">
        <w:rPr>
          <w:rFonts w:ascii="Arial" w:hAnsi="Arial" w:cs="Arial"/>
          <w:lang w:val="en-US"/>
        </w:rPr>
        <w:t xml:space="preserve">, </w:t>
      </w:r>
      <w:proofErr w:type="spellStart"/>
      <w:r w:rsidRPr="00BF178A">
        <w:rPr>
          <w:rFonts w:ascii="Arial" w:hAnsi="Arial" w:cs="Arial"/>
          <w:i/>
          <w:lang w:val="en-US"/>
        </w:rPr>
        <w:t>Pseudoscleropodium</w:t>
      </w:r>
      <w:proofErr w:type="spellEnd"/>
      <w:r w:rsidRPr="00BF178A">
        <w:rPr>
          <w:rFonts w:ascii="Arial" w:hAnsi="Arial" w:cs="Arial"/>
          <w:lang w:val="en-US"/>
        </w:rPr>
        <w:t xml:space="preserve"> </w:t>
      </w:r>
      <w:proofErr w:type="spellStart"/>
      <w:r w:rsidRPr="00BF178A">
        <w:rPr>
          <w:rFonts w:ascii="Arial" w:hAnsi="Arial" w:cs="Arial"/>
          <w:i/>
          <w:lang w:val="en-US"/>
        </w:rPr>
        <w:t>purum</w:t>
      </w:r>
      <w:proofErr w:type="spellEnd"/>
      <w:r w:rsidRPr="00BF178A">
        <w:rPr>
          <w:rFonts w:ascii="Arial" w:hAnsi="Arial" w:cs="Arial"/>
          <w:lang w:val="en-US"/>
        </w:rPr>
        <w:t xml:space="preserve">), and grasses intolerant of grazing pressure (e.g. </w:t>
      </w:r>
      <w:r w:rsidRPr="00BF178A">
        <w:rPr>
          <w:rFonts w:ascii="Arial" w:hAnsi="Arial" w:cs="Arial"/>
          <w:i/>
          <w:lang w:val="en-US"/>
        </w:rPr>
        <w:t>Molinia</w:t>
      </w:r>
      <w:r w:rsidRPr="00BF178A">
        <w:rPr>
          <w:rFonts w:ascii="Arial" w:hAnsi="Arial" w:cs="Arial"/>
          <w:lang w:val="en-US"/>
        </w:rPr>
        <w:t xml:space="preserve"> </w:t>
      </w:r>
      <w:proofErr w:type="spellStart"/>
      <w:r w:rsidRPr="00BF178A">
        <w:rPr>
          <w:rFonts w:ascii="Arial" w:hAnsi="Arial" w:cs="Arial"/>
          <w:i/>
          <w:lang w:val="en-US"/>
        </w:rPr>
        <w:t>caerulea</w:t>
      </w:r>
      <w:proofErr w:type="spellEnd"/>
      <w:r w:rsidRPr="00BF178A">
        <w:rPr>
          <w:rFonts w:ascii="Arial" w:hAnsi="Arial" w:cs="Arial"/>
          <w:lang w:val="en-US"/>
        </w:rPr>
        <w:t xml:space="preserve">, </w:t>
      </w:r>
      <w:proofErr w:type="spellStart"/>
      <w:r w:rsidRPr="00BF178A">
        <w:rPr>
          <w:rFonts w:ascii="Arial" w:hAnsi="Arial" w:cs="Arial"/>
          <w:i/>
          <w:lang w:val="en-US"/>
        </w:rPr>
        <w:lastRenderedPageBreak/>
        <w:t>Deschampsia</w:t>
      </w:r>
      <w:proofErr w:type="spellEnd"/>
      <w:r w:rsidRPr="00BF178A">
        <w:rPr>
          <w:rFonts w:ascii="Arial" w:hAnsi="Arial" w:cs="Arial"/>
          <w:lang w:val="en-US"/>
        </w:rPr>
        <w:t xml:space="preserve"> </w:t>
      </w:r>
      <w:proofErr w:type="spellStart"/>
      <w:r w:rsidRPr="00BF178A">
        <w:rPr>
          <w:rFonts w:ascii="Arial" w:hAnsi="Arial" w:cs="Arial"/>
          <w:i/>
          <w:lang w:val="en-US"/>
        </w:rPr>
        <w:t>flexuosa</w:t>
      </w:r>
      <w:proofErr w:type="spellEnd"/>
      <w:r w:rsidRPr="00BF178A">
        <w:rPr>
          <w:rFonts w:ascii="Arial" w:hAnsi="Arial" w:cs="Arial"/>
          <w:lang w:val="en-US"/>
        </w:rPr>
        <w:t xml:space="preserve"> (Fig 1). The </w:t>
      </w:r>
      <w:proofErr w:type="spellStart"/>
      <w:r w:rsidRPr="00BF178A">
        <w:rPr>
          <w:rFonts w:ascii="Arial" w:hAnsi="Arial" w:cs="Arial"/>
          <w:lang w:val="en-US"/>
        </w:rPr>
        <w:t>pRDA</w:t>
      </w:r>
      <w:proofErr w:type="spellEnd"/>
      <w:r w:rsidRPr="00BF178A">
        <w:rPr>
          <w:rFonts w:ascii="Arial" w:hAnsi="Arial" w:cs="Arial"/>
          <w:lang w:val="en-US"/>
        </w:rPr>
        <w:t xml:space="preserve"> axes were significantly (Monte-Carlo permutation tests of both first and all canonical axes: P = 0.002) associated with the plant species assemblage with the first axis explaining most (18%) of the total variance (Fig. 1). This primary axis of variation was positively correlated with the presence of grazing livestock (intra-set correlation coefficient = 0.96, p = 0.002), increasing phosphate load (0.63, p = 0.01) and soil pH (0.50, p = 0.04), and negatively correlated with plant litter cover (-0.72, p = 0.002) in explaining the plant species data (Fig. 1). The second RDA axis was positively and negatively correlated with soil pH (0.58) and phosphate load (-0.58), respectively, while the third axis was principally associated (0.68, p = 0.02) with unvegetated soil trampled by cattle (Fig. 1,). The sampling year (p = 0.69), size (p = 0.21) and density (p = 0.63) of trees, sward height (p = 0.39) and total percentage of soil carbon (p = 0.81) and nitrogen (p = 0.43) did not significantly structure the plant assemblages. The lack of a ‘year’ effect showed that the plant assemblage response was consistent between years.</w:t>
      </w:r>
    </w:p>
    <w:p w14:paraId="1FE1652D" w14:textId="77777777" w:rsidR="00BF178A" w:rsidRPr="00BF178A" w:rsidRDefault="00BF178A" w:rsidP="00BF178A">
      <w:pPr>
        <w:jc w:val="both"/>
        <w:rPr>
          <w:rFonts w:ascii="Arial" w:hAnsi="Arial" w:cs="Arial"/>
          <w:b/>
          <w:noProof/>
          <w:lang w:val="en-US" w:eastAsia="en-GB"/>
        </w:rPr>
      </w:pPr>
    </w:p>
    <w:p w14:paraId="24F32CCA" w14:textId="6A04B386" w:rsidR="00BF178A" w:rsidRDefault="00BF178A" w:rsidP="00BF178A">
      <w:pPr>
        <w:jc w:val="both"/>
        <w:rPr>
          <w:rFonts w:ascii="Arial" w:hAnsi="Arial" w:cs="Arial"/>
          <w:color w:val="231F20"/>
        </w:rPr>
      </w:pPr>
      <w:r w:rsidRPr="00BF178A">
        <w:rPr>
          <w:rFonts w:ascii="Arial" w:hAnsi="Arial" w:cs="Arial"/>
          <w:b/>
          <w:noProof/>
          <w:lang w:val="en-US" w:eastAsia="en-GB"/>
        </w:rPr>
        <w:t>Figure S1</w:t>
      </w:r>
      <w:r w:rsidRPr="00BF178A">
        <w:rPr>
          <w:rFonts w:ascii="Arial" w:hAnsi="Arial" w:cs="Arial"/>
          <w:color w:val="231F20"/>
          <w:lang w:val="en-US"/>
        </w:rPr>
        <w:t xml:space="preserve"> Partial redundancy analysis (</w:t>
      </w:r>
      <w:proofErr w:type="spellStart"/>
      <w:r w:rsidRPr="00BF178A">
        <w:rPr>
          <w:rFonts w:ascii="Arial" w:hAnsi="Arial" w:cs="Arial"/>
          <w:color w:val="231F20"/>
          <w:lang w:val="en-US"/>
        </w:rPr>
        <w:t>pRDA</w:t>
      </w:r>
      <w:proofErr w:type="spellEnd"/>
      <w:r w:rsidRPr="00BF178A">
        <w:rPr>
          <w:rFonts w:ascii="Arial" w:hAnsi="Arial" w:cs="Arial"/>
          <w:color w:val="231F20"/>
          <w:lang w:val="en-US"/>
        </w:rPr>
        <w:t xml:space="preserve">) of plant </w:t>
      </w:r>
      <w:proofErr w:type="spellStart"/>
      <w:r w:rsidRPr="00BF178A">
        <w:rPr>
          <w:rFonts w:ascii="Arial" w:hAnsi="Arial" w:cs="Arial"/>
          <w:color w:val="231F20"/>
          <w:lang w:val="en-US"/>
        </w:rPr>
        <w:t>understorey</w:t>
      </w:r>
      <w:proofErr w:type="spellEnd"/>
      <w:r w:rsidRPr="00BF178A">
        <w:rPr>
          <w:rFonts w:ascii="Arial" w:hAnsi="Arial" w:cs="Arial"/>
          <w:color w:val="231F20"/>
          <w:lang w:val="en-US"/>
        </w:rPr>
        <w:t xml:space="preserve"> assemblages accounting for site-level variance (n=20) due to temporal split-plot (2007 &amp; 2008). Forward-step wise fitted (</w:t>
      </w:r>
      <w:r w:rsidRPr="00BF178A">
        <w:rPr>
          <w:rFonts w:ascii="Arial" w:hAnsi="Arial" w:cs="Arial"/>
          <w:lang w:val="en-US"/>
        </w:rPr>
        <w:t xml:space="preserve">Monte-Carlo global permutation test significance level: ***P ≤0.001, ** P ≤ </w:t>
      </w:r>
      <w:proofErr w:type="gramStart"/>
      <w:r w:rsidRPr="00BF178A">
        <w:rPr>
          <w:rFonts w:ascii="Arial" w:hAnsi="Arial" w:cs="Arial"/>
          <w:lang w:val="en-US"/>
        </w:rPr>
        <w:t>0.01,*</w:t>
      </w:r>
      <w:proofErr w:type="gramEnd"/>
      <w:r w:rsidRPr="00BF178A">
        <w:rPr>
          <w:rFonts w:ascii="Arial" w:hAnsi="Arial" w:cs="Arial"/>
          <w:lang w:val="en-US"/>
        </w:rPr>
        <w:t xml:space="preserve"> P &lt;0.05</w:t>
      </w:r>
      <w:r w:rsidRPr="00BF178A">
        <w:rPr>
          <w:rFonts w:ascii="Arial" w:hAnsi="Arial" w:cs="Arial"/>
          <w:color w:val="231F20"/>
          <w:lang w:val="en-US"/>
        </w:rPr>
        <w:t xml:space="preserve">) explanatory variables are represented by black solid arrows. Supplementary variables that did not influence the ordination are shown by black dashed arrows. </w:t>
      </w:r>
      <w:r w:rsidRPr="00BF178A">
        <w:rPr>
          <w:rFonts w:ascii="Arial" w:hAnsi="Arial" w:cs="Arial"/>
          <w:color w:val="231F20"/>
        </w:rPr>
        <w:t xml:space="preserve">Plant </w:t>
      </w:r>
      <w:proofErr w:type="spellStart"/>
      <w:r w:rsidRPr="00BF178A">
        <w:rPr>
          <w:rFonts w:ascii="Arial" w:hAnsi="Arial" w:cs="Arial"/>
          <w:color w:val="231F20"/>
        </w:rPr>
        <w:t>species</w:t>
      </w:r>
      <w:proofErr w:type="spellEnd"/>
      <w:r w:rsidRPr="00BF178A">
        <w:rPr>
          <w:rFonts w:ascii="Arial" w:hAnsi="Arial" w:cs="Arial"/>
          <w:color w:val="231F20"/>
        </w:rPr>
        <w:t xml:space="preserve"> </w:t>
      </w:r>
      <w:proofErr w:type="spellStart"/>
      <w:r w:rsidRPr="00BF178A">
        <w:rPr>
          <w:rFonts w:ascii="Arial" w:hAnsi="Arial" w:cs="Arial"/>
          <w:color w:val="231F20"/>
        </w:rPr>
        <w:t>vectors</w:t>
      </w:r>
      <w:proofErr w:type="spellEnd"/>
      <w:r w:rsidRPr="00BF178A">
        <w:rPr>
          <w:rFonts w:ascii="Arial" w:hAnsi="Arial" w:cs="Arial"/>
          <w:color w:val="231F20"/>
        </w:rPr>
        <w:t xml:space="preserve"> </w:t>
      </w:r>
      <w:proofErr w:type="spellStart"/>
      <w:r w:rsidRPr="00BF178A">
        <w:rPr>
          <w:rFonts w:ascii="Arial" w:hAnsi="Arial" w:cs="Arial"/>
          <w:color w:val="231F20"/>
        </w:rPr>
        <w:t>shown</w:t>
      </w:r>
      <w:proofErr w:type="spellEnd"/>
      <w:r w:rsidRPr="00BF178A">
        <w:rPr>
          <w:rFonts w:ascii="Arial" w:hAnsi="Arial" w:cs="Arial"/>
          <w:color w:val="231F20"/>
        </w:rPr>
        <w:t xml:space="preserve"> by </w:t>
      </w:r>
      <w:proofErr w:type="spellStart"/>
      <w:r w:rsidRPr="00BF178A">
        <w:rPr>
          <w:rFonts w:ascii="Arial" w:hAnsi="Arial" w:cs="Arial"/>
          <w:color w:val="231F20"/>
        </w:rPr>
        <w:t>grey</w:t>
      </w:r>
      <w:proofErr w:type="spellEnd"/>
      <w:r w:rsidRPr="00BF178A">
        <w:rPr>
          <w:rFonts w:ascii="Arial" w:hAnsi="Arial" w:cs="Arial"/>
          <w:color w:val="231F20"/>
        </w:rPr>
        <w:t xml:space="preserve"> </w:t>
      </w:r>
      <w:proofErr w:type="spellStart"/>
      <w:r w:rsidRPr="00BF178A">
        <w:rPr>
          <w:rFonts w:ascii="Arial" w:hAnsi="Arial" w:cs="Arial"/>
          <w:color w:val="231F20"/>
        </w:rPr>
        <w:t>dashed</w:t>
      </w:r>
      <w:proofErr w:type="spellEnd"/>
      <w:r w:rsidRPr="00BF178A">
        <w:rPr>
          <w:rFonts w:ascii="Arial" w:hAnsi="Arial" w:cs="Arial"/>
          <w:color w:val="231F20"/>
        </w:rPr>
        <w:t xml:space="preserve"> </w:t>
      </w:r>
      <w:proofErr w:type="spellStart"/>
      <w:r w:rsidRPr="00BF178A">
        <w:rPr>
          <w:rFonts w:ascii="Arial" w:hAnsi="Arial" w:cs="Arial"/>
          <w:color w:val="231F20"/>
        </w:rPr>
        <w:t>arrows</w:t>
      </w:r>
      <w:proofErr w:type="spellEnd"/>
      <w:r w:rsidRPr="00BF178A">
        <w:rPr>
          <w:rFonts w:ascii="Arial" w:hAnsi="Arial" w:cs="Arial"/>
          <w:color w:val="231F20"/>
        </w:rPr>
        <w:t>.</w:t>
      </w:r>
    </w:p>
    <w:p w14:paraId="516815E3" w14:textId="77777777" w:rsidR="00BF178A" w:rsidRPr="00BF178A" w:rsidRDefault="00BF178A" w:rsidP="00BF178A">
      <w:pPr>
        <w:jc w:val="both"/>
        <w:rPr>
          <w:rFonts w:ascii="Arial" w:hAnsi="Arial" w:cs="Arial"/>
          <w:color w:val="231F20"/>
        </w:rPr>
      </w:pPr>
      <w:bookmarkStart w:id="0" w:name="_GoBack"/>
      <w:bookmarkEnd w:id="0"/>
    </w:p>
    <w:p w14:paraId="200A1920" w14:textId="77777777" w:rsidR="00BF178A" w:rsidRPr="00BF178A" w:rsidRDefault="00BF178A" w:rsidP="00BF178A">
      <w:pPr>
        <w:rPr>
          <w:rFonts w:ascii="Arial" w:hAnsi="Arial" w:cs="Arial"/>
          <w:color w:val="231F20"/>
        </w:rPr>
      </w:pPr>
      <w:r w:rsidRPr="00BF178A">
        <w:rPr>
          <w:rFonts w:ascii="Arial" w:hAnsi="Arial" w:cs="Arial"/>
          <w:noProof/>
          <w:lang w:eastAsia="fr-FR"/>
        </w:rPr>
        <w:drawing>
          <wp:inline distT="0" distB="0" distL="0" distR="0" wp14:anchorId="1B46860A" wp14:editId="7B90E8E6">
            <wp:extent cx="5760720" cy="428117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5760720" cy="4281170"/>
                    </a:xfrm>
                    <a:prstGeom prst="rect">
                      <a:avLst/>
                    </a:prstGeom>
                    <a:noFill/>
                    <a:ln w="9525">
                      <a:noFill/>
                      <a:miter lim="800000"/>
                      <a:headEnd/>
                      <a:tailEnd/>
                    </a:ln>
                  </pic:spPr>
                </pic:pic>
              </a:graphicData>
            </a:graphic>
          </wp:inline>
        </w:drawing>
      </w:r>
    </w:p>
    <w:p w14:paraId="3E72AF00" w14:textId="77777777" w:rsidR="00BF178A" w:rsidRPr="00BF178A" w:rsidRDefault="00BF178A" w:rsidP="00BF178A">
      <w:pPr>
        <w:rPr>
          <w:rFonts w:ascii="Arial" w:hAnsi="Arial" w:cs="Arial"/>
          <w:color w:val="231F20"/>
        </w:rPr>
      </w:pPr>
    </w:p>
    <w:p w14:paraId="50B06CB0" w14:textId="77777777" w:rsidR="00BF178A" w:rsidRPr="00BF178A" w:rsidRDefault="00BF178A" w:rsidP="00BF178A">
      <w:pPr>
        <w:rPr>
          <w:rFonts w:ascii="Arial" w:hAnsi="Arial" w:cs="Arial"/>
          <w:lang w:val="en-US"/>
        </w:rPr>
      </w:pPr>
    </w:p>
    <w:p w14:paraId="2FED137D" w14:textId="77777777" w:rsidR="003875A3" w:rsidRPr="00BF178A" w:rsidRDefault="003875A3">
      <w:pPr>
        <w:rPr>
          <w:rFonts w:ascii="Arial" w:hAnsi="Arial" w:cs="Arial"/>
        </w:rPr>
      </w:pPr>
    </w:p>
    <w:sectPr w:rsidR="003875A3" w:rsidRPr="00BF178A" w:rsidSect="00B160ED">
      <w:pgSz w:w="11906" w:h="16838"/>
      <w:pgMar w:top="1134"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8A"/>
    <w:rsid w:val="0003186B"/>
    <w:rsid w:val="003875A3"/>
    <w:rsid w:val="00BF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7F35"/>
  <w15:chartTrackingRefBased/>
  <w15:docId w15:val="{A0D19F69-7B4B-4852-AE8F-F3E11FF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8A"/>
    <w:pPr>
      <w:spacing w:after="0" w:line="240" w:lineRule="auto"/>
    </w:pPr>
    <w:rPr>
      <w:rFonts w:ascii="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SYKESJB</dc:creator>
  <cp:keywords/>
  <dc:description/>
  <cp:lastModifiedBy>SYKESJB</cp:lastModifiedBy>
  <cp:revision>1</cp:revision>
  <dcterms:created xsi:type="dcterms:W3CDTF">2018-10-10T16:15:00Z</dcterms:created>
  <dcterms:modified xsi:type="dcterms:W3CDTF">2018-10-10T16:23:00Z</dcterms:modified>
</cp:coreProperties>
</file>