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90F2FB" w14:textId="65574EC8" w:rsidR="00487B6F" w:rsidRPr="00487B6F" w:rsidRDefault="00487B6F" w:rsidP="00487B6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lang w:eastAsia="en-GB"/>
        </w:rPr>
      </w:pPr>
      <w:r w:rsidRPr="00487B6F">
        <w:rPr>
          <w:rFonts w:ascii="Arial" w:eastAsia="Times New Roman" w:hAnsi="Arial" w:cs="Arial"/>
          <w:b/>
          <w:color w:val="222222"/>
          <w:lang w:eastAsia="en-GB"/>
        </w:rPr>
        <w:t>PEATLAND-ES-UK LONG-TERM EXPERIMENT</w:t>
      </w:r>
    </w:p>
    <w:p w14:paraId="617647E3" w14:textId="11B0CBA0" w:rsidR="00487B6F" w:rsidRPr="00487B6F" w:rsidRDefault="00487B6F" w:rsidP="00487B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lang w:eastAsia="en-GB"/>
        </w:rPr>
      </w:pPr>
    </w:p>
    <w:p w14:paraId="46806BC7" w14:textId="4F9F566C" w:rsidR="00487B6F" w:rsidRPr="00487B6F" w:rsidRDefault="00487B6F" w:rsidP="00487B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lang w:eastAsia="en-GB"/>
        </w:rPr>
      </w:pPr>
      <w:r w:rsidRPr="00487B6F">
        <w:rPr>
          <w:rFonts w:ascii="Arial" w:eastAsia="Times New Roman" w:hAnsi="Arial" w:cs="Arial"/>
          <w:b/>
          <w:color w:val="222222"/>
          <w:lang w:eastAsia="en-GB"/>
        </w:rPr>
        <w:t>EXPERIMENTAL DESIGN</w:t>
      </w:r>
    </w:p>
    <w:p w14:paraId="14DD8E64" w14:textId="77777777" w:rsidR="00487B6F" w:rsidRPr="00487B6F" w:rsidRDefault="00487B6F" w:rsidP="00487B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n-GB"/>
        </w:rPr>
      </w:pPr>
    </w:p>
    <w:p w14:paraId="489AA8E1" w14:textId="25CDE8EE" w:rsidR="00487B6F" w:rsidRDefault="00487B6F" w:rsidP="00487B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n-GB"/>
        </w:rPr>
      </w:pPr>
      <w:r w:rsidRPr="00487B6F">
        <w:rPr>
          <w:rFonts w:ascii="Arial" w:eastAsia="Times New Roman" w:hAnsi="Arial" w:cs="Arial"/>
          <w:color w:val="222222"/>
          <w:lang w:eastAsia="en-GB"/>
        </w:rPr>
        <w:t>The three sites</w:t>
      </w:r>
      <w:r>
        <w:rPr>
          <w:rFonts w:ascii="Arial" w:eastAsia="Times New Roman" w:hAnsi="Arial" w:cs="Arial"/>
          <w:color w:val="222222"/>
          <w:lang w:eastAsia="en-GB"/>
        </w:rPr>
        <w:t xml:space="preserve">, </w:t>
      </w:r>
      <w:r w:rsidRPr="00487B6F">
        <w:rPr>
          <w:rFonts w:ascii="Arial" w:eastAsia="Times New Roman" w:hAnsi="Arial" w:cs="Arial"/>
          <w:color w:val="222222"/>
          <w:lang w:eastAsia="en-GB"/>
        </w:rPr>
        <w:t xml:space="preserve">Nidderdale, </w:t>
      </w:r>
      <w:proofErr w:type="spellStart"/>
      <w:r w:rsidRPr="00487B6F">
        <w:rPr>
          <w:rFonts w:ascii="Arial" w:eastAsia="Times New Roman" w:hAnsi="Arial" w:cs="Arial"/>
          <w:color w:val="222222"/>
          <w:lang w:eastAsia="en-GB"/>
        </w:rPr>
        <w:t>Mossdale</w:t>
      </w:r>
      <w:proofErr w:type="spellEnd"/>
      <w:r>
        <w:rPr>
          <w:rFonts w:ascii="Arial" w:eastAsia="Times New Roman" w:hAnsi="Arial" w:cs="Arial"/>
          <w:color w:val="222222"/>
          <w:lang w:eastAsia="en-GB"/>
        </w:rPr>
        <w:t xml:space="preserve"> and</w:t>
      </w:r>
      <w:r w:rsidRPr="00487B6F">
        <w:rPr>
          <w:rFonts w:ascii="Arial" w:eastAsia="Times New Roman" w:hAnsi="Arial" w:cs="Arial"/>
          <w:color w:val="222222"/>
          <w:lang w:eastAsia="en-GB"/>
        </w:rPr>
        <w:t xml:space="preserve"> </w:t>
      </w:r>
      <w:proofErr w:type="spellStart"/>
      <w:r w:rsidRPr="00487B6F">
        <w:rPr>
          <w:rFonts w:ascii="Arial" w:eastAsia="Times New Roman" w:hAnsi="Arial" w:cs="Arial"/>
          <w:color w:val="222222"/>
          <w:lang w:eastAsia="en-GB"/>
        </w:rPr>
        <w:t>Whitendale</w:t>
      </w:r>
      <w:proofErr w:type="spellEnd"/>
      <w:r w:rsidRPr="00487B6F">
        <w:rPr>
          <w:rFonts w:ascii="Arial" w:eastAsia="Times New Roman" w:hAnsi="Arial" w:cs="Arial"/>
          <w:color w:val="222222"/>
          <w:lang w:eastAsia="en-GB"/>
        </w:rPr>
        <w:t xml:space="preserve"> are all located in north-west England and were chosen based on a set of key criteria: all are classed as heather</w:t>
      </w:r>
      <w:r>
        <w:rPr>
          <w:rFonts w:ascii="Arial" w:eastAsia="Times New Roman" w:hAnsi="Arial" w:cs="Arial"/>
          <w:color w:val="222222"/>
          <w:lang w:eastAsia="en-GB"/>
        </w:rPr>
        <w:t>-</w:t>
      </w:r>
      <w:r w:rsidRPr="00487B6F">
        <w:rPr>
          <w:rFonts w:ascii="Arial" w:eastAsia="Times New Roman" w:hAnsi="Arial" w:cs="Arial"/>
          <w:color w:val="222222"/>
          <w:lang w:eastAsia="en-GB"/>
        </w:rPr>
        <w:t>dominated blanket bog (</w:t>
      </w:r>
      <w:r>
        <w:rPr>
          <w:rFonts w:ascii="Arial" w:eastAsia="Times New Roman" w:hAnsi="Arial" w:cs="Arial"/>
          <w:color w:val="222222"/>
          <w:lang w:eastAsia="en-GB"/>
        </w:rPr>
        <w:t xml:space="preserve">see </w:t>
      </w:r>
      <w:r w:rsidRPr="00487B6F">
        <w:rPr>
          <w:rFonts w:ascii="Arial" w:eastAsia="Times New Roman" w:hAnsi="Arial" w:cs="Arial"/>
          <w:b/>
          <w:color w:val="222222"/>
          <w:lang w:eastAsia="en-GB"/>
        </w:rPr>
        <w:t>Figure 2</w:t>
      </w:r>
      <w:r w:rsidRPr="00487B6F">
        <w:rPr>
          <w:rFonts w:ascii="Arial" w:eastAsia="Times New Roman" w:hAnsi="Arial" w:cs="Arial"/>
          <w:color w:val="222222"/>
          <w:lang w:eastAsia="en-GB"/>
        </w:rPr>
        <w:t>) with a mean peat depth of over 1m and were managed as grouse moors. Typically, the sites were managed with a 10-15</w:t>
      </w:r>
      <w:r>
        <w:rPr>
          <w:rFonts w:ascii="Arial" w:eastAsia="Times New Roman" w:hAnsi="Arial" w:cs="Arial"/>
          <w:color w:val="222222"/>
          <w:lang w:eastAsia="en-GB"/>
        </w:rPr>
        <w:t>-</w:t>
      </w:r>
      <w:r w:rsidRPr="00487B6F">
        <w:rPr>
          <w:rFonts w:ascii="Arial" w:eastAsia="Times New Roman" w:hAnsi="Arial" w:cs="Arial"/>
          <w:color w:val="222222"/>
          <w:lang w:eastAsia="en-GB"/>
        </w:rPr>
        <w:t xml:space="preserve">year burn rotation and all had a long history of burning (more than 100 years). All sites have more than 50% </w:t>
      </w:r>
      <w:proofErr w:type="spellStart"/>
      <w:r w:rsidRPr="00487B6F">
        <w:rPr>
          <w:rFonts w:ascii="Arial" w:eastAsia="Times New Roman" w:hAnsi="Arial" w:cs="Arial"/>
          <w:i/>
          <w:color w:val="222222"/>
          <w:lang w:eastAsia="en-GB"/>
        </w:rPr>
        <w:t>Calluna</w:t>
      </w:r>
      <w:proofErr w:type="spellEnd"/>
      <w:r w:rsidRPr="00487B6F">
        <w:rPr>
          <w:rFonts w:ascii="Arial" w:eastAsia="Times New Roman" w:hAnsi="Arial" w:cs="Arial"/>
          <w:color w:val="222222"/>
          <w:lang w:eastAsia="en-GB"/>
        </w:rPr>
        <w:t xml:space="preserve"> cover, with at least some existing bog vegetation in the form of </w:t>
      </w:r>
      <w:proofErr w:type="spellStart"/>
      <w:r w:rsidRPr="00487B6F">
        <w:rPr>
          <w:rFonts w:ascii="Arial" w:eastAsia="Times New Roman" w:hAnsi="Arial" w:cs="Arial"/>
          <w:i/>
          <w:color w:val="222222"/>
          <w:lang w:eastAsia="en-GB"/>
        </w:rPr>
        <w:t>Eriophorum</w:t>
      </w:r>
      <w:proofErr w:type="spellEnd"/>
      <w:r w:rsidRPr="00487B6F">
        <w:rPr>
          <w:rFonts w:ascii="Arial" w:eastAsia="Times New Roman" w:hAnsi="Arial" w:cs="Arial"/>
          <w:color w:val="222222"/>
          <w:lang w:eastAsia="en-GB"/>
        </w:rPr>
        <w:t xml:space="preserve"> and </w:t>
      </w:r>
      <w:r w:rsidRPr="00487B6F">
        <w:rPr>
          <w:rFonts w:ascii="Arial" w:eastAsia="Times New Roman" w:hAnsi="Arial" w:cs="Arial"/>
          <w:i/>
          <w:color w:val="222222"/>
          <w:lang w:eastAsia="en-GB"/>
        </w:rPr>
        <w:t>Sphagnum</w:t>
      </w:r>
      <w:r w:rsidRPr="00487B6F">
        <w:rPr>
          <w:rFonts w:ascii="Arial" w:eastAsia="Times New Roman" w:hAnsi="Arial" w:cs="Arial"/>
          <w:color w:val="222222"/>
          <w:lang w:eastAsia="en-GB"/>
        </w:rPr>
        <w:t xml:space="preserve"> species, and show a low stocking density of &lt;0.5 ewes ha</w:t>
      </w:r>
      <w:r w:rsidRPr="00487B6F">
        <w:rPr>
          <w:rFonts w:ascii="Arial" w:eastAsia="Times New Roman" w:hAnsi="Arial" w:cs="Arial"/>
          <w:color w:val="222222"/>
          <w:vertAlign w:val="superscript"/>
          <w:lang w:eastAsia="en-GB"/>
        </w:rPr>
        <w:t>-1</w:t>
      </w:r>
      <w:r w:rsidRPr="00487B6F">
        <w:rPr>
          <w:rFonts w:ascii="Arial" w:eastAsia="Times New Roman" w:hAnsi="Arial" w:cs="Arial"/>
          <w:color w:val="222222"/>
          <w:lang w:eastAsia="en-GB"/>
        </w:rPr>
        <w:t>. The sites allowed for a pair of similar sized (~10 ha) sub-catchments, each with a main stream, and their proximity allowed reaching all within a day when necessary.</w:t>
      </w:r>
    </w:p>
    <w:p w14:paraId="51A34DC6" w14:textId="77777777" w:rsidR="00487B6F" w:rsidRPr="00487B6F" w:rsidRDefault="00487B6F" w:rsidP="00487B6F">
      <w:pPr>
        <w:contextualSpacing/>
        <w:jc w:val="center"/>
        <w:rPr>
          <w:rFonts w:ascii="Arial" w:hAnsi="Arial" w:cs="Arial"/>
        </w:rPr>
      </w:pPr>
      <w:r w:rsidRPr="00487B6F">
        <w:rPr>
          <w:rFonts w:ascii="Arial" w:eastAsia="Times New Roman" w:hAnsi="Arial" w:cs="Arial"/>
          <w:color w:val="222222"/>
          <w:lang w:eastAsia="en-GB"/>
        </w:rPr>
        <w:t xml:space="preserve"> </w:t>
      </w:r>
      <w:r w:rsidRPr="00487B6F">
        <w:rPr>
          <w:rFonts w:ascii="Arial" w:hAnsi="Arial" w:cs="Arial"/>
          <w:noProof/>
          <w:lang w:eastAsia="en-GB"/>
        </w:rPr>
        <w:drawing>
          <wp:inline distT="0" distB="0" distL="0" distR="0" wp14:anchorId="6784A50D" wp14:editId="66BCE01A">
            <wp:extent cx="5761355" cy="1426845"/>
            <wp:effectExtent l="19050" t="19050" r="10795" b="209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42684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0EB8CC9" w14:textId="52F2A543" w:rsidR="00487B6F" w:rsidRPr="00DA2800" w:rsidRDefault="00487B6F" w:rsidP="00487B6F">
      <w:pPr>
        <w:jc w:val="both"/>
        <w:rPr>
          <w:rFonts w:ascii="Arial" w:hAnsi="Arial" w:cs="Arial"/>
          <w:sz w:val="20"/>
          <w:szCs w:val="20"/>
        </w:rPr>
      </w:pPr>
      <w:r w:rsidRPr="00DA2800">
        <w:rPr>
          <w:rFonts w:ascii="Arial" w:hAnsi="Arial" w:cs="Arial"/>
          <w:b/>
          <w:sz w:val="20"/>
          <w:szCs w:val="20"/>
        </w:rPr>
        <w:t>Figure 2</w:t>
      </w:r>
      <w:r w:rsidRPr="00DA2800">
        <w:rPr>
          <w:rFonts w:ascii="Arial" w:hAnsi="Arial" w:cs="Arial"/>
          <w:b/>
          <w:sz w:val="20"/>
          <w:szCs w:val="20"/>
        </w:rPr>
        <w:t xml:space="preserve">: </w:t>
      </w:r>
      <w:r w:rsidRPr="00DA2800">
        <w:rPr>
          <w:rFonts w:ascii="Arial" w:hAnsi="Arial" w:cs="Arial"/>
          <w:sz w:val="20"/>
          <w:szCs w:val="20"/>
        </w:rPr>
        <w:t xml:space="preserve">Site conditions as observed by ground-level pictures (credit A. Heinemeyer) taken in winter 2012 at each site (Nidderdale, </w:t>
      </w:r>
      <w:proofErr w:type="spellStart"/>
      <w:r w:rsidRPr="00DA2800">
        <w:rPr>
          <w:rFonts w:ascii="Arial" w:hAnsi="Arial" w:cs="Arial"/>
          <w:sz w:val="20"/>
          <w:szCs w:val="20"/>
        </w:rPr>
        <w:t>Mossdale</w:t>
      </w:r>
      <w:proofErr w:type="spellEnd"/>
      <w:r w:rsidRPr="00DA2800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DA2800">
        <w:rPr>
          <w:rFonts w:ascii="Arial" w:hAnsi="Arial" w:cs="Arial"/>
          <w:sz w:val="20"/>
          <w:szCs w:val="20"/>
        </w:rPr>
        <w:t>Whitendale</w:t>
      </w:r>
      <w:proofErr w:type="spellEnd"/>
      <w:r w:rsidRPr="00DA2800">
        <w:rPr>
          <w:rFonts w:ascii="Arial" w:hAnsi="Arial" w:cs="Arial"/>
          <w:sz w:val="20"/>
          <w:szCs w:val="20"/>
        </w:rPr>
        <w:t>). Note the heather and sedge cover (mostly cotton-grass (</w:t>
      </w:r>
      <w:proofErr w:type="spellStart"/>
      <w:r w:rsidRPr="00DA2800">
        <w:rPr>
          <w:rFonts w:ascii="Arial" w:hAnsi="Arial" w:cs="Arial"/>
          <w:i/>
          <w:sz w:val="20"/>
          <w:szCs w:val="20"/>
        </w:rPr>
        <w:t>Eriophorum</w:t>
      </w:r>
      <w:proofErr w:type="spellEnd"/>
      <w:r w:rsidRPr="00DA2800">
        <w:rPr>
          <w:rFonts w:ascii="Arial" w:hAnsi="Arial" w:cs="Arial"/>
          <w:sz w:val="20"/>
          <w:szCs w:val="20"/>
        </w:rPr>
        <w:t xml:space="preserve"> spp.)) dominated blanket bog vegetation.</w:t>
      </w:r>
    </w:p>
    <w:p w14:paraId="7E53E2A1" w14:textId="0149474D" w:rsidR="00DA2800" w:rsidRDefault="00487B6F" w:rsidP="00487B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n-GB"/>
        </w:rPr>
      </w:pPr>
      <w:r w:rsidRPr="00487B6F">
        <w:rPr>
          <w:rFonts w:ascii="Arial" w:eastAsia="Times New Roman" w:hAnsi="Arial" w:cs="Arial"/>
          <w:color w:val="222222"/>
          <w:lang w:eastAsia="en-GB"/>
        </w:rPr>
        <w:t>Management for each site consisted of two similar adjacent sub-catchments being allocated either a burning or mowing management at the catchment scale, with various plot-level managements</w:t>
      </w:r>
      <w:r w:rsidR="00252D40">
        <w:rPr>
          <w:rFonts w:ascii="Arial" w:eastAsia="Times New Roman" w:hAnsi="Arial" w:cs="Arial"/>
          <w:color w:val="222222"/>
          <w:lang w:eastAsia="en-GB"/>
        </w:rPr>
        <w:t xml:space="preserve">: </w:t>
      </w:r>
      <w:r w:rsidRPr="00487B6F">
        <w:rPr>
          <w:rFonts w:ascii="Arial" w:eastAsia="Times New Roman" w:hAnsi="Arial" w:cs="Arial"/>
          <w:color w:val="222222"/>
          <w:lang w:eastAsia="en-GB"/>
        </w:rPr>
        <w:t xml:space="preserve">uncut, brash removal or </w:t>
      </w:r>
      <w:r w:rsidRPr="00487B6F">
        <w:rPr>
          <w:rFonts w:ascii="Arial" w:eastAsia="Times New Roman" w:hAnsi="Arial" w:cs="Arial"/>
          <w:i/>
          <w:color w:val="222222"/>
          <w:lang w:eastAsia="en-GB"/>
        </w:rPr>
        <w:t>Sphagnum</w:t>
      </w:r>
      <w:r w:rsidRPr="00487B6F">
        <w:rPr>
          <w:rFonts w:ascii="Arial" w:eastAsia="Times New Roman" w:hAnsi="Arial" w:cs="Arial"/>
          <w:color w:val="222222"/>
          <w:lang w:eastAsia="en-GB"/>
        </w:rPr>
        <w:t xml:space="preserve"> pellet addition. Within each sub-catchment</w:t>
      </w:r>
      <w:r w:rsidR="00252D40">
        <w:rPr>
          <w:rFonts w:ascii="Arial" w:eastAsia="Times New Roman" w:hAnsi="Arial" w:cs="Arial"/>
          <w:color w:val="222222"/>
          <w:lang w:eastAsia="en-GB"/>
        </w:rPr>
        <w:t>,</w:t>
      </w:r>
      <w:r w:rsidRPr="00487B6F">
        <w:rPr>
          <w:rFonts w:ascii="Arial" w:eastAsia="Times New Roman" w:hAnsi="Arial" w:cs="Arial"/>
          <w:color w:val="222222"/>
          <w:lang w:eastAsia="en-GB"/>
        </w:rPr>
        <w:t xml:space="preserve"> four experimental blocks each with one 5 x 5 m plot-level (with a 5m gap between each plot) replicate per management treatment, were defined with at least 50m between blocks (</w:t>
      </w:r>
      <w:r w:rsidR="00DA2800">
        <w:rPr>
          <w:rFonts w:ascii="Arial" w:eastAsia="Times New Roman" w:hAnsi="Arial" w:cs="Arial"/>
          <w:color w:val="222222"/>
          <w:lang w:eastAsia="en-GB"/>
        </w:rPr>
        <w:t xml:space="preserve">see </w:t>
      </w:r>
      <w:r w:rsidRPr="00487B6F">
        <w:rPr>
          <w:rFonts w:ascii="Arial" w:eastAsia="Times New Roman" w:hAnsi="Arial" w:cs="Arial"/>
          <w:b/>
          <w:color w:val="222222"/>
          <w:lang w:eastAsia="en-GB"/>
        </w:rPr>
        <w:t>Figure 3</w:t>
      </w:r>
      <w:r w:rsidRPr="00487B6F">
        <w:rPr>
          <w:rFonts w:ascii="Arial" w:eastAsia="Times New Roman" w:hAnsi="Arial" w:cs="Arial"/>
          <w:color w:val="222222"/>
          <w:lang w:eastAsia="en-GB"/>
        </w:rPr>
        <w:t>).</w:t>
      </w:r>
    </w:p>
    <w:p w14:paraId="319EABEF" w14:textId="77777777" w:rsidR="00DA2800" w:rsidRPr="00487B6F" w:rsidRDefault="00DA2800" w:rsidP="00DA280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n-GB"/>
        </w:rPr>
      </w:pPr>
    </w:p>
    <w:p w14:paraId="2F36B7C2" w14:textId="77777777" w:rsidR="00DA2800" w:rsidRPr="00487B6F" w:rsidRDefault="00DA2800" w:rsidP="00DA2800">
      <w:pPr>
        <w:contextualSpacing/>
        <w:jc w:val="center"/>
        <w:rPr>
          <w:rFonts w:ascii="Arial" w:eastAsia="Times New Roman" w:hAnsi="Arial" w:cs="Arial"/>
          <w:color w:val="222222"/>
          <w:sz w:val="19"/>
          <w:szCs w:val="19"/>
          <w:lang w:eastAsia="en-GB"/>
        </w:rPr>
      </w:pPr>
      <w:r w:rsidRPr="00487B6F">
        <w:rPr>
          <w:rFonts w:ascii="Arial" w:eastAsia="Times New Roman" w:hAnsi="Arial" w:cs="Arial"/>
          <w:noProof/>
          <w:color w:val="222222"/>
          <w:sz w:val="19"/>
          <w:szCs w:val="19"/>
          <w:lang w:eastAsia="en-GB"/>
        </w:rPr>
        <w:drawing>
          <wp:inline distT="0" distB="0" distL="0" distR="0" wp14:anchorId="2ED4897C" wp14:editId="2AAB1B76">
            <wp:extent cx="5953759" cy="327188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896" cy="3279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344F56" w14:textId="25D70282" w:rsidR="00DA2800" w:rsidRPr="00DA2800" w:rsidRDefault="00DA2800" w:rsidP="00DA2800">
      <w:pPr>
        <w:jc w:val="both"/>
        <w:rPr>
          <w:rFonts w:ascii="Arial" w:eastAsia="Times New Roman" w:hAnsi="Arial" w:cs="Arial"/>
          <w:color w:val="222222"/>
          <w:sz w:val="20"/>
          <w:szCs w:val="20"/>
          <w:lang w:eastAsia="en-GB"/>
        </w:rPr>
      </w:pPr>
      <w:r w:rsidRPr="00DA2800">
        <w:rPr>
          <w:rFonts w:ascii="Arial" w:eastAsia="Times New Roman" w:hAnsi="Arial" w:cs="Arial"/>
          <w:b/>
          <w:color w:val="222222"/>
          <w:sz w:val="20"/>
          <w:szCs w:val="20"/>
          <w:lang w:eastAsia="en-GB"/>
        </w:rPr>
        <w:lastRenderedPageBreak/>
        <w:t>Figure 3</w:t>
      </w:r>
      <w:r w:rsidRPr="00DA2800">
        <w:rPr>
          <w:rFonts w:ascii="Arial" w:eastAsia="Times New Roman" w:hAnsi="Arial" w:cs="Arial"/>
          <w:b/>
          <w:color w:val="222222"/>
          <w:sz w:val="20"/>
          <w:szCs w:val="20"/>
          <w:lang w:eastAsia="en-GB"/>
        </w:rPr>
        <w:t>:</w:t>
      </w:r>
      <w:r w:rsidRPr="00DA2800">
        <w:rPr>
          <w:rFonts w:ascii="Arial" w:eastAsia="Times New Roman" w:hAnsi="Arial" w:cs="Arial"/>
          <w:color w:val="222222"/>
          <w:sz w:val="20"/>
          <w:szCs w:val="20"/>
          <w:lang w:eastAsia="en-GB"/>
        </w:rPr>
        <w:t xml:space="preserve"> Schematic site layout of the two sub-catchments (blue outlines) with four blocks (yellow outlines) each. Each plot (red outlines) is 5x5 m. Control (C) plots were burnt (FI) and the additional C1 plots were burnt with </w:t>
      </w:r>
      <w:r w:rsidRPr="00DA2800">
        <w:rPr>
          <w:rFonts w:ascii="Arial" w:eastAsia="Times New Roman" w:hAnsi="Arial" w:cs="Arial"/>
          <w:i/>
          <w:color w:val="222222"/>
          <w:sz w:val="20"/>
          <w:szCs w:val="20"/>
          <w:lang w:eastAsia="en-GB"/>
        </w:rPr>
        <w:t>Sphagnum</w:t>
      </w:r>
      <w:r w:rsidRPr="00DA2800">
        <w:rPr>
          <w:rFonts w:ascii="Arial" w:eastAsia="Times New Roman" w:hAnsi="Arial" w:cs="Arial"/>
          <w:color w:val="222222"/>
          <w:sz w:val="20"/>
          <w:szCs w:val="20"/>
          <w:lang w:eastAsia="en-GB"/>
        </w:rPr>
        <w:t xml:space="preserve"> propagules subsequently added (</w:t>
      </w:r>
      <w:proofErr w:type="spellStart"/>
      <w:r w:rsidRPr="00DA2800">
        <w:rPr>
          <w:rFonts w:ascii="Arial" w:eastAsia="Times New Roman" w:hAnsi="Arial" w:cs="Arial"/>
          <w:color w:val="222222"/>
          <w:sz w:val="20"/>
          <w:szCs w:val="20"/>
          <w:lang w:eastAsia="en-GB"/>
        </w:rPr>
        <w:t>FI+Sp</w:t>
      </w:r>
      <w:proofErr w:type="spellEnd"/>
      <w:r w:rsidRPr="00DA2800">
        <w:rPr>
          <w:rFonts w:ascii="Arial" w:eastAsia="Times New Roman" w:hAnsi="Arial" w:cs="Arial"/>
          <w:color w:val="222222"/>
          <w:sz w:val="20"/>
          <w:szCs w:val="20"/>
          <w:lang w:eastAsia="en-GB"/>
        </w:rPr>
        <w:t xml:space="preserve">). Treatment (T1-T5; randomly allocated) plots in the mown sub-catchment were either mown with brash left (LB) or brash removed (BR), were mown with </w:t>
      </w:r>
      <w:r w:rsidRPr="00DA2800">
        <w:rPr>
          <w:rFonts w:ascii="Arial" w:eastAsia="Times New Roman" w:hAnsi="Arial" w:cs="Arial"/>
          <w:i/>
          <w:color w:val="222222"/>
          <w:sz w:val="20"/>
          <w:szCs w:val="20"/>
          <w:lang w:eastAsia="en-GB"/>
        </w:rPr>
        <w:t>Sphagnum</w:t>
      </w:r>
      <w:r w:rsidRPr="00DA2800">
        <w:rPr>
          <w:rFonts w:ascii="Arial" w:eastAsia="Times New Roman" w:hAnsi="Arial" w:cs="Arial"/>
          <w:color w:val="222222"/>
          <w:sz w:val="20"/>
          <w:szCs w:val="20"/>
          <w:lang w:eastAsia="en-GB"/>
        </w:rPr>
        <w:t xml:space="preserve"> propagules added (</w:t>
      </w:r>
      <w:proofErr w:type="spellStart"/>
      <w:r w:rsidRPr="00DA2800">
        <w:rPr>
          <w:rFonts w:ascii="Arial" w:eastAsia="Times New Roman" w:hAnsi="Arial" w:cs="Arial"/>
          <w:color w:val="222222"/>
          <w:sz w:val="20"/>
          <w:szCs w:val="20"/>
          <w:lang w:eastAsia="en-GB"/>
        </w:rPr>
        <w:t>LB+Sp</w:t>
      </w:r>
      <w:proofErr w:type="spellEnd"/>
      <w:r w:rsidRPr="00DA2800">
        <w:rPr>
          <w:rFonts w:ascii="Arial" w:eastAsia="Times New Roman" w:hAnsi="Arial" w:cs="Arial"/>
          <w:color w:val="222222"/>
          <w:sz w:val="20"/>
          <w:szCs w:val="20"/>
          <w:lang w:eastAsia="en-GB"/>
        </w:rPr>
        <w:t xml:space="preserve">; </w:t>
      </w:r>
      <w:proofErr w:type="spellStart"/>
      <w:r w:rsidRPr="00DA2800">
        <w:rPr>
          <w:rFonts w:ascii="Arial" w:eastAsia="Times New Roman" w:hAnsi="Arial" w:cs="Arial"/>
          <w:color w:val="222222"/>
          <w:sz w:val="20"/>
          <w:szCs w:val="20"/>
          <w:lang w:eastAsia="en-GB"/>
        </w:rPr>
        <w:t>BR+Sp</w:t>
      </w:r>
      <w:proofErr w:type="spellEnd"/>
      <w:r w:rsidRPr="00DA2800">
        <w:rPr>
          <w:rFonts w:ascii="Arial" w:eastAsia="Times New Roman" w:hAnsi="Arial" w:cs="Arial"/>
          <w:color w:val="222222"/>
          <w:sz w:val="20"/>
          <w:szCs w:val="20"/>
          <w:lang w:eastAsia="en-GB"/>
        </w:rPr>
        <w:t>)</w:t>
      </w:r>
      <w:bookmarkStart w:id="0" w:name="_GoBack"/>
      <w:bookmarkEnd w:id="0"/>
      <w:r w:rsidRPr="00DA2800">
        <w:rPr>
          <w:rFonts w:ascii="Arial" w:eastAsia="Times New Roman" w:hAnsi="Arial" w:cs="Arial"/>
          <w:color w:val="222222"/>
          <w:sz w:val="20"/>
          <w:szCs w:val="20"/>
          <w:lang w:eastAsia="en-GB"/>
        </w:rPr>
        <w:t xml:space="preserve"> or were left uncut as ‘do nothing’ comparisons (DN). Each plot contained a corner 1x1 m area (green square) for detailed vegetation monitoring, a circle for CH</w:t>
      </w:r>
      <w:r w:rsidRPr="00DA2800">
        <w:rPr>
          <w:rFonts w:ascii="Arial" w:eastAsia="Times New Roman" w:hAnsi="Arial" w:cs="Arial"/>
          <w:color w:val="222222"/>
          <w:sz w:val="20"/>
          <w:szCs w:val="20"/>
          <w:vertAlign w:val="subscript"/>
          <w:lang w:eastAsia="en-GB"/>
        </w:rPr>
        <w:t>4</w:t>
      </w:r>
      <w:r w:rsidRPr="00DA2800">
        <w:rPr>
          <w:rFonts w:ascii="Arial" w:eastAsia="Times New Roman" w:hAnsi="Arial" w:cs="Arial"/>
          <w:color w:val="222222"/>
          <w:sz w:val="20"/>
          <w:szCs w:val="20"/>
          <w:lang w:eastAsia="en-GB"/>
        </w:rPr>
        <w:t xml:space="preserve"> and total soil respiration (purple circle), periodically cut and therefore root-free soil respiration (</w:t>
      </w:r>
      <w:proofErr w:type="spellStart"/>
      <w:r w:rsidRPr="00DA2800">
        <w:rPr>
          <w:rFonts w:ascii="Arial" w:eastAsia="Times New Roman" w:hAnsi="Arial" w:cs="Arial"/>
          <w:color w:val="222222"/>
          <w:sz w:val="20"/>
          <w:szCs w:val="20"/>
          <w:lang w:eastAsia="en-GB"/>
        </w:rPr>
        <w:t>SR</w:t>
      </w:r>
      <w:r w:rsidRPr="00DA2800">
        <w:rPr>
          <w:rFonts w:ascii="Arial" w:eastAsia="Times New Roman" w:hAnsi="Arial" w:cs="Arial"/>
          <w:color w:val="222222"/>
          <w:sz w:val="20"/>
          <w:szCs w:val="20"/>
          <w:vertAlign w:val="subscript"/>
          <w:lang w:eastAsia="en-GB"/>
        </w:rPr>
        <w:t>c</w:t>
      </w:r>
      <w:proofErr w:type="spellEnd"/>
      <w:r w:rsidRPr="00DA2800">
        <w:rPr>
          <w:rFonts w:ascii="Arial" w:eastAsia="Times New Roman" w:hAnsi="Arial" w:cs="Arial"/>
          <w:color w:val="222222"/>
          <w:sz w:val="20"/>
          <w:szCs w:val="20"/>
          <w:lang w:eastAsia="en-GB"/>
        </w:rPr>
        <w:t xml:space="preserve">) areas for decomposition (brown circle), and NEE flux (green circle) measurements and a mesh cage with a </w:t>
      </w:r>
      <w:proofErr w:type="spellStart"/>
      <w:r w:rsidRPr="00DA2800">
        <w:rPr>
          <w:rFonts w:ascii="Arial" w:eastAsia="Times New Roman" w:hAnsi="Arial" w:cs="Arial"/>
          <w:color w:val="222222"/>
          <w:sz w:val="20"/>
          <w:szCs w:val="20"/>
          <w:lang w:eastAsia="en-GB"/>
        </w:rPr>
        <w:t>dipwell</w:t>
      </w:r>
      <w:proofErr w:type="spellEnd"/>
      <w:r w:rsidRPr="00DA2800">
        <w:rPr>
          <w:rFonts w:ascii="Arial" w:eastAsia="Times New Roman" w:hAnsi="Arial" w:cs="Arial"/>
          <w:color w:val="222222"/>
          <w:sz w:val="20"/>
          <w:szCs w:val="20"/>
          <w:lang w:eastAsia="en-GB"/>
        </w:rPr>
        <w:t xml:space="preserve"> and temperature logger (blue circle).</w:t>
      </w:r>
    </w:p>
    <w:p w14:paraId="7E0B48D1" w14:textId="10247E83" w:rsidR="00DA2800" w:rsidRDefault="00487B6F" w:rsidP="00487B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n-GB"/>
        </w:rPr>
      </w:pPr>
      <w:r w:rsidRPr="00487B6F">
        <w:rPr>
          <w:rFonts w:ascii="Arial" w:eastAsia="Times New Roman" w:hAnsi="Arial" w:cs="Arial"/>
          <w:color w:val="222222"/>
          <w:lang w:eastAsia="en-GB"/>
        </w:rPr>
        <w:t>Diverging management of either burning or mowing (</w:t>
      </w:r>
      <w:r w:rsidR="00DA2800">
        <w:rPr>
          <w:rFonts w:ascii="Arial" w:eastAsia="Times New Roman" w:hAnsi="Arial" w:cs="Arial"/>
          <w:color w:val="222222"/>
          <w:lang w:eastAsia="en-GB"/>
        </w:rPr>
        <w:t xml:space="preserve">see </w:t>
      </w:r>
      <w:r w:rsidRPr="00487B6F">
        <w:rPr>
          <w:rFonts w:ascii="Arial" w:eastAsia="Times New Roman" w:hAnsi="Arial" w:cs="Arial"/>
          <w:b/>
          <w:color w:val="222222"/>
          <w:lang w:eastAsia="en-GB"/>
        </w:rPr>
        <w:t>Figure 4</w:t>
      </w:r>
      <w:r w:rsidRPr="00487B6F">
        <w:rPr>
          <w:rFonts w:ascii="Arial" w:eastAsia="Times New Roman" w:hAnsi="Arial" w:cs="Arial"/>
          <w:color w:val="222222"/>
          <w:lang w:eastAsia="en-GB"/>
        </w:rPr>
        <w:t>) started with the first management phase in 2013 (after one year of background monitoring pre-management change), on all blocks and on three additional areas per sub-catchment (~0.24 ha each). In the second management phase in 2015, five new areas (~0.25 ha each) within the sub-catchments were burnt or mown.</w:t>
      </w:r>
    </w:p>
    <w:p w14:paraId="6510B737" w14:textId="77777777" w:rsidR="00DA2800" w:rsidRPr="00487B6F" w:rsidRDefault="00DA2800" w:rsidP="00DA2800">
      <w:pPr>
        <w:jc w:val="both"/>
        <w:rPr>
          <w:rFonts w:ascii="Arial" w:hAnsi="Arial" w:cs="Arial"/>
        </w:rPr>
      </w:pPr>
    </w:p>
    <w:p w14:paraId="4D51A733" w14:textId="77777777" w:rsidR="00DA2800" w:rsidRPr="00487B6F" w:rsidRDefault="00DA2800" w:rsidP="00DA2800">
      <w:pPr>
        <w:contextualSpacing/>
        <w:jc w:val="center"/>
        <w:rPr>
          <w:rFonts w:ascii="Arial" w:eastAsia="Times New Roman" w:hAnsi="Arial" w:cs="Arial"/>
          <w:b/>
          <w:color w:val="222222"/>
          <w:lang w:eastAsia="en-GB"/>
        </w:rPr>
      </w:pPr>
      <w:r w:rsidRPr="00487B6F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 wp14:anchorId="13C46005" wp14:editId="6FA460DA">
            <wp:extent cx="6023076" cy="2849512"/>
            <wp:effectExtent l="19050" t="19050" r="15875" b="273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88" cy="285159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08830C9" w14:textId="6316300B" w:rsidR="00DA2800" w:rsidRPr="00DA2800" w:rsidRDefault="00DA2800" w:rsidP="00DA2800">
      <w:pPr>
        <w:jc w:val="both"/>
        <w:rPr>
          <w:rFonts w:ascii="Arial" w:eastAsia="Times New Roman" w:hAnsi="Arial" w:cs="Arial"/>
          <w:color w:val="222222"/>
          <w:sz w:val="20"/>
          <w:szCs w:val="20"/>
          <w:lang w:eastAsia="en-GB"/>
        </w:rPr>
      </w:pPr>
      <w:r w:rsidRPr="00DA2800">
        <w:rPr>
          <w:rFonts w:ascii="Arial" w:eastAsia="Times New Roman" w:hAnsi="Arial" w:cs="Arial"/>
          <w:b/>
          <w:color w:val="222222"/>
          <w:sz w:val="20"/>
          <w:szCs w:val="20"/>
          <w:lang w:eastAsia="en-GB"/>
        </w:rPr>
        <w:t>Figure 4</w:t>
      </w:r>
      <w:r w:rsidRPr="00DA2800">
        <w:rPr>
          <w:rFonts w:ascii="Arial" w:eastAsia="Times New Roman" w:hAnsi="Arial" w:cs="Arial"/>
          <w:b/>
          <w:color w:val="222222"/>
          <w:sz w:val="20"/>
          <w:szCs w:val="20"/>
          <w:lang w:eastAsia="en-GB"/>
        </w:rPr>
        <w:t>:</w:t>
      </w:r>
      <w:r w:rsidRPr="00DA2800">
        <w:rPr>
          <w:rFonts w:ascii="Arial" w:eastAsia="Times New Roman" w:hAnsi="Arial" w:cs="Arial"/>
          <w:color w:val="222222"/>
          <w:sz w:val="20"/>
          <w:szCs w:val="20"/>
          <w:lang w:eastAsia="en-GB"/>
        </w:rPr>
        <w:t xml:space="preserve"> The six sub-catchments (from left to right: Nidderdale, </w:t>
      </w:r>
      <w:proofErr w:type="spellStart"/>
      <w:r w:rsidRPr="00DA2800">
        <w:rPr>
          <w:rFonts w:ascii="Arial" w:eastAsia="Times New Roman" w:hAnsi="Arial" w:cs="Arial"/>
          <w:color w:val="222222"/>
          <w:sz w:val="20"/>
          <w:szCs w:val="20"/>
          <w:lang w:eastAsia="en-GB"/>
        </w:rPr>
        <w:t>Mossdale</w:t>
      </w:r>
      <w:proofErr w:type="spellEnd"/>
      <w:r w:rsidRPr="00DA2800">
        <w:rPr>
          <w:rFonts w:ascii="Arial" w:eastAsia="Times New Roman" w:hAnsi="Arial" w:cs="Arial"/>
          <w:color w:val="222222"/>
          <w:sz w:val="20"/>
          <w:szCs w:val="20"/>
          <w:lang w:eastAsia="en-GB"/>
        </w:rPr>
        <w:t xml:space="preserve">, </w:t>
      </w:r>
      <w:proofErr w:type="spellStart"/>
      <w:r w:rsidRPr="00DA2800">
        <w:rPr>
          <w:rFonts w:ascii="Arial" w:eastAsia="Times New Roman" w:hAnsi="Arial" w:cs="Arial"/>
          <w:color w:val="222222"/>
          <w:sz w:val="20"/>
          <w:szCs w:val="20"/>
          <w:lang w:eastAsia="en-GB"/>
        </w:rPr>
        <w:t>Whitendale</w:t>
      </w:r>
      <w:proofErr w:type="spellEnd"/>
      <w:r w:rsidRPr="00DA2800">
        <w:rPr>
          <w:rFonts w:ascii="Arial" w:eastAsia="Times New Roman" w:hAnsi="Arial" w:cs="Arial"/>
          <w:color w:val="222222"/>
          <w:sz w:val="20"/>
          <w:szCs w:val="20"/>
          <w:lang w:eastAsia="en-GB"/>
        </w:rPr>
        <w:t xml:space="preserve">) shown during burning (top row) and after mowing (bottom row) in March/April 2013. Also note the air pollution (visible as smoke) impact during the burning </w:t>
      </w:r>
      <w:r w:rsidRPr="00DA2800">
        <w:rPr>
          <w:rFonts w:ascii="Arial" w:hAnsi="Arial" w:cs="Arial"/>
          <w:sz w:val="20"/>
          <w:szCs w:val="20"/>
        </w:rPr>
        <w:t>(photo credit A. Heinemeyer)</w:t>
      </w:r>
      <w:r w:rsidRPr="00DA2800">
        <w:rPr>
          <w:rFonts w:ascii="Arial" w:eastAsia="Times New Roman" w:hAnsi="Arial" w:cs="Arial"/>
          <w:color w:val="222222"/>
          <w:sz w:val="20"/>
          <w:szCs w:val="20"/>
          <w:lang w:eastAsia="en-GB"/>
        </w:rPr>
        <w:t>.</w:t>
      </w:r>
    </w:p>
    <w:p w14:paraId="329A508B" w14:textId="77777777" w:rsidR="00DA2800" w:rsidRDefault="00DA2800" w:rsidP="00487B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n-GB"/>
        </w:rPr>
      </w:pPr>
    </w:p>
    <w:p w14:paraId="30829F20" w14:textId="60D350FE" w:rsidR="003875A3" w:rsidRPr="00DA2800" w:rsidRDefault="00487B6F" w:rsidP="00DA2800">
      <w:pPr>
        <w:jc w:val="both"/>
        <w:rPr>
          <w:rFonts w:ascii="Arial" w:eastAsia="Times New Roman" w:hAnsi="Arial" w:cs="Arial"/>
          <w:color w:val="222222"/>
          <w:lang w:eastAsia="en-GB"/>
        </w:rPr>
      </w:pPr>
      <w:r w:rsidRPr="00487B6F">
        <w:rPr>
          <w:rFonts w:ascii="Arial" w:eastAsia="Times New Roman" w:hAnsi="Arial" w:cs="Arial"/>
          <w:color w:val="222222"/>
          <w:lang w:eastAsia="en-GB"/>
        </w:rPr>
        <w:t>Each site has a V-notch flow weir at the outflow of each sub-catchment to measure flow rates and, by considering rainfall data from a weather station, calculate water budgets. In one corner of each plot, a logger measure</w:t>
      </w:r>
      <w:r w:rsidR="00DA2800">
        <w:rPr>
          <w:rFonts w:ascii="Arial" w:eastAsia="Times New Roman" w:hAnsi="Arial" w:cs="Arial"/>
          <w:color w:val="222222"/>
          <w:lang w:eastAsia="en-GB"/>
        </w:rPr>
        <w:t>s</w:t>
      </w:r>
      <w:r w:rsidRPr="00487B6F">
        <w:rPr>
          <w:rFonts w:ascii="Arial" w:eastAsia="Times New Roman" w:hAnsi="Arial" w:cs="Arial"/>
          <w:color w:val="222222"/>
          <w:lang w:eastAsia="en-GB"/>
        </w:rPr>
        <w:t xml:space="preserve"> the soil temperature, another logger records daily water tables and a peat rod allows capturing long-term peat accumulation. Additionally, each plot contains a </w:t>
      </w:r>
      <w:proofErr w:type="spellStart"/>
      <w:r w:rsidRPr="00487B6F">
        <w:rPr>
          <w:rFonts w:ascii="Arial" w:eastAsia="Times New Roman" w:hAnsi="Arial" w:cs="Arial"/>
          <w:color w:val="222222"/>
          <w:lang w:eastAsia="en-GB"/>
        </w:rPr>
        <w:t>Rhizon</w:t>
      </w:r>
      <w:proofErr w:type="spellEnd"/>
      <w:r w:rsidRPr="00487B6F">
        <w:rPr>
          <w:rFonts w:ascii="Arial" w:eastAsia="Times New Roman" w:hAnsi="Arial" w:cs="Arial"/>
          <w:color w:val="222222"/>
          <w:lang w:eastAsia="en-GB"/>
        </w:rPr>
        <w:t xml:space="preserve"> sampler for periodical sampling of pore water. Circular flux areas for repeated methane (CH</w:t>
      </w:r>
      <w:r w:rsidRPr="00487B6F">
        <w:rPr>
          <w:rFonts w:ascii="Arial" w:eastAsia="Times New Roman" w:hAnsi="Arial" w:cs="Arial"/>
          <w:color w:val="222222"/>
          <w:vertAlign w:val="subscript"/>
          <w:lang w:eastAsia="en-GB"/>
        </w:rPr>
        <w:t>4</w:t>
      </w:r>
      <w:r w:rsidRPr="00487B6F">
        <w:rPr>
          <w:rFonts w:ascii="Arial" w:eastAsia="Times New Roman" w:hAnsi="Arial" w:cs="Arial"/>
          <w:color w:val="222222"/>
          <w:lang w:eastAsia="en-GB"/>
        </w:rPr>
        <w:t>) and total CO</w:t>
      </w:r>
      <w:r w:rsidRPr="00487B6F">
        <w:rPr>
          <w:rFonts w:ascii="Arial" w:eastAsia="Times New Roman" w:hAnsi="Arial" w:cs="Arial"/>
          <w:color w:val="222222"/>
          <w:vertAlign w:val="subscript"/>
          <w:lang w:eastAsia="en-GB"/>
        </w:rPr>
        <w:t>2</w:t>
      </w:r>
      <w:r w:rsidRPr="00487B6F">
        <w:rPr>
          <w:rFonts w:ascii="Arial" w:eastAsia="Times New Roman" w:hAnsi="Arial" w:cs="Arial"/>
          <w:color w:val="222222"/>
          <w:lang w:eastAsia="en-GB"/>
        </w:rPr>
        <w:t xml:space="preserve"> soil respiration (SR), root-free SR (</w:t>
      </w:r>
      <w:proofErr w:type="spellStart"/>
      <w:r w:rsidRPr="00487B6F">
        <w:rPr>
          <w:rFonts w:ascii="Arial" w:eastAsia="Times New Roman" w:hAnsi="Arial" w:cs="Arial"/>
          <w:color w:val="222222"/>
          <w:lang w:eastAsia="en-GB"/>
        </w:rPr>
        <w:t>SR</w:t>
      </w:r>
      <w:r w:rsidRPr="00487B6F">
        <w:rPr>
          <w:rFonts w:ascii="Arial" w:eastAsia="Times New Roman" w:hAnsi="Arial" w:cs="Arial"/>
          <w:color w:val="222222"/>
          <w:vertAlign w:val="subscript"/>
          <w:lang w:eastAsia="en-GB"/>
        </w:rPr>
        <w:t>c</w:t>
      </w:r>
      <w:proofErr w:type="spellEnd"/>
      <w:r w:rsidRPr="00487B6F">
        <w:rPr>
          <w:rFonts w:ascii="Arial" w:eastAsia="Times New Roman" w:hAnsi="Arial" w:cs="Arial"/>
          <w:color w:val="222222"/>
          <w:lang w:eastAsia="en-GB"/>
        </w:rPr>
        <w:t>) and net ecosystem exchange (NEE) measurements are seasonally monitored along one side. A 1 x 1m sub-plot and the entire 5 x 5 m plots are undergoing annu</w:t>
      </w:r>
      <w:r w:rsidR="00DA2800">
        <w:rPr>
          <w:rFonts w:ascii="Arial" w:eastAsia="Times New Roman" w:hAnsi="Arial" w:cs="Arial"/>
          <w:color w:val="222222"/>
          <w:lang w:eastAsia="en-GB"/>
        </w:rPr>
        <w:t>a</w:t>
      </w:r>
      <w:r w:rsidRPr="00487B6F">
        <w:rPr>
          <w:rFonts w:ascii="Arial" w:eastAsia="Times New Roman" w:hAnsi="Arial" w:cs="Arial"/>
          <w:color w:val="222222"/>
          <w:lang w:eastAsia="en-GB"/>
        </w:rPr>
        <w:t xml:space="preserve">l detailed vegetation monitoring. </w:t>
      </w:r>
      <w:r w:rsidR="00DA2800">
        <w:rPr>
          <w:rFonts w:ascii="Arial" w:eastAsia="Times New Roman" w:hAnsi="Arial" w:cs="Arial"/>
          <w:color w:val="222222"/>
          <w:lang w:eastAsia="en-GB"/>
        </w:rPr>
        <w:t xml:space="preserve">Refer to </w:t>
      </w:r>
      <w:r w:rsidR="00DA2800">
        <w:rPr>
          <w:rFonts w:ascii="Arial" w:eastAsia="Times New Roman" w:hAnsi="Arial" w:cs="Arial"/>
          <w:b/>
          <w:color w:val="222222"/>
          <w:lang w:eastAsia="en-GB"/>
        </w:rPr>
        <w:t xml:space="preserve">Figure 3 </w:t>
      </w:r>
      <w:r w:rsidR="00DA2800">
        <w:rPr>
          <w:rFonts w:ascii="Arial" w:eastAsia="Times New Roman" w:hAnsi="Arial" w:cs="Arial"/>
          <w:color w:val="222222"/>
          <w:lang w:eastAsia="en-GB"/>
        </w:rPr>
        <w:t>for the overall context.</w:t>
      </w:r>
    </w:p>
    <w:p w14:paraId="408EBE48" w14:textId="3F269697" w:rsidR="00487B6F" w:rsidRPr="00487B6F" w:rsidRDefault="00487B6F" w:rsidP="00487B6F">
      <w:pPr>
        <w:rPr>
          <w:rFonts w:ascii="Arial" w:hAnsi="Arial" w:cs="Arial"/>
        </w:rPr>
      </w:pPr>
    </w:p>
    <w:p w14:paraId="466BEECE" w14:textId="77777777" w:rsidR="00487B6F" w:rsidRPr="00487B6F" w:rsidRDefault="00487B6F" w:rsidP="00487B6F">
      <w:pPr>
        <w:rPr>
          <w:rFonts w:ascii="Arial" w:hAnsi="Arial" w:cs="Arial"/>
        </w:rPr>
      </w:pPr>
    </w:p>
    <w:sectPr w:rsidR="00487B6F" w:rsidRPr="00487B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B6F"/>
    <w:rsid w:val="0003186B"/>
    <w:rsid w:val="000F73F5"/>
    <w:rsid w:val="00252D40"/>
    <w:rsid w:val="003875A3"/>
    <w:rsid w:val="00487B6F"/>
    <w:rsid w:val="00DA2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1478FB"/>
  <w15:chartTrackingRefBased/>
  <w15:docId w15:val="{CC4253FB-7E08-4549-BF5C-6B26139DF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87B6F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573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SYKESJB</dc:creator>
  <cp:keywords/>
  <dc:description/>
  <cp:lastModifiedBy>SYKESJB</cp:lastModifiedBy>
  <cp:revision>2</cp:revision>
  <dcterms:created xsi:type="dcterms:W3CDTF">2018-10-11T16:22:00Z</dcterms:created>
  <dcterms:modified xsi:type="dcterms:W3CDTF">2018-10-11T16:43:00Z</dcterms:modified>
</cp:coreProperties>
</file>